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6B400" w14:textId="77777777" w:rsidR="00B3615B" w:rsidRDefault="00000000">
      <w:pPr>
        <w:pStyle w:val="Heading2"/>
      </w:pPr>
      <w:bookmarkStart w:id="0" w:name="introduction"/>
      <w:r>
        <w:t>Introduction</w:t>
      </w:r>
    </w:p>
    <w:p w14:paraId="40B46660" w14:textId="77777777" w:rsidR="00B3615B" w:rsidRDefault="00000000">
      <w:pPr>
        <w:pStyle w:val="FirstParagraph"/>
      </w:pPr>
      <w:r>
        <w:t>Behavioural flexibility, i.e. the ability to adjust the behaviour adaptively in response to internal or external changes by problem-solving, innovation, or alterations in one behaviour in favour of another [</w:t>
      </w:r>
      <w:hyperlink w:anchor="ref-brown2010behavioral">
        <w:r>
          <w:rPr>
            <w:rStyle w:val="Hyperlink"/>
          </w:rPr>
          <w:t>1</w:t>
        </w:r>
      </w:hyperlink>
      <w:r>
        <w:t>], is considered crucial for invasion success [</w:t>
      </w:r>
      <w:hyperlink w:anchor="ref-wright2010behavioral">
        <w:r>
          <w:rPr>
            <w:rStyle w:val="Hyperlink"/>
          </w:rPr>
          <w:t>2</w:t>
        </w:r>
      </w:hyperlink>
      <w:r>
        <w:t>–</w:t>
      </w:r>
      <w:hyperlink w:anchor="ref-szabo2020can">
        <w:r>
          <w:rPr>
            <w:rStyle w:val="Hyperlink"/>
          </w:rPr>
          <w:t>4</w:t>
        </w:r>
      </w:hyperlink>
      <w:r>
        <w:t>]. In general, species with higher behavioural flexibility are more likely to survive and establish in new habitats, as behaving flexibly enhances their capacity to exploit new resources and face new challenges [</w:t>
      </w:r>
      <w:hyperlink w:anchor="ref-wright2010behavioral">
        <w:r>
          <w:rPr>
            <w:rStyle w:val="Hyperlink"/>
          </w:rPr>
          <w:t>2</w:t>
        </w:r>
      </w:hyperlink>
      <w:r>
        <w:t>–</w:t>
      </w:r>
      <w:hyperlink w:anchor="ref-szabo2020can">
        <w:r>
          <w:rPr>
            <w:rStyle w:val="Hyperlink"/>
          </w:rPr>
          <w:t>4</w:t>
        </w:r>
      </w:hyperlink>
      <w:r>
        <w:t>]. For instance, when closely related species of birds were compared, successful invaders showed a higher frequency of foraging innovations [</w:t>
      </w:r>
      <w:hyperlink w:anchor="ref-sol2000behavioural">
        <w:r>
          <w:rPr>
            <w:rStyle w:val="Hyperlink"/>
          </w:rPr>
          <w:t>5</w:t>
        </w:r>
      </w:hyperlink>
      <w:r>
        <w:t>]. According to the adaptive flexibility hypothesis, behavioural flexibility can be more relevant during introduction, establishment, and spread of the population [</w:t>
      </w:r>
      <w:hyperlink w:anchor="ref-wright2010behavioral">
        <w:r>
          <w:rPr>
            <w:rStyle w:val="Hyperlink"/>
          </w:rPr>
          <w:t>2</w:t>
        </w:r>
      </w:hyperlink>
      <w:r>
        <w:t>–</w:t>
      </w:r>
      <w:hyperlink w:anchor="ref-szabo2020can">
        <w:r>
          <w:rPr>
            <w:rStyle w:val="Hyperlink"/>
          </w:rPr>
          <w:t>4</w:t>
        </w:r>
      </w:hyperlink>
      <w:r>
        <w:t>], stages that, nonetheless, can involve more than one generation. If behavioural flexibility is adaptive in these different stages, both this trait and the underlining mechanisms are expected to persist through generations in succesful invaders. For example, in mammals, birds, reptiles and amphibians, relative brain size is a good predictor of behavioural flexibility and invasive success [</w:t>
      </w:r>
      <w:hyperlink w:anchor="ref-sol2000behavioural">
        <w:r>
          <w:rPr>
            <w:rStyle w:val="Hyperlink"/>
          </w:rPr>
          <w:t>5</w:t>
        </w:r>
      </w:hyperlink>
      <w:r>
        <w:t>–</w:t>
      </w:r>
      <w:hyperlink w:anchor="ref-amiel_smart_2011">
        <w:r>
          <w:rPr>
            <w:rStyle w:val="Hyperlink"/>
          </w:rPr>
          <w:t>8</w:t>
        </w:r>
      </w:hyperlink>
      <w:r>
        <w:t>]. Since the brain is especially sensitive to environmental changes during the early stages of development [</w:t>
      </w:r>
      <w:hyperlink w:anchor="ref-zhu_prenatal_2004">
        <w:r>
          <w:rPr>
            <w:rStyle w:val="Hyperlink"/>
          </w:rPr>
          <w:t>9</w:t>
        </w:r>
      </w:hyperlink>
      <w:r>
        <w:t xml:space="preserve">] it is possible that the new prenatal environment faced by establishing populations can affect the behavioural flexibility of the new generations [see </w:t>
      </w:r>
      <w:hyperlink w:anchor="ref-jonson1976effect">
        <w:r>
          <w:rPr>
            <w:rStyle w:val="Hyperlink"/>
          </w:rPr>
          <w:t>10</w:t>
        </w:r>
      </w:hyperlink>
      <w:r>
        <w:t>,</w:t>
      </w:r>
      <w:hyperlink w:anchor="ref-lui2017chronic">
        <w:r>
          <w:rPr>
            <w:rStyle w:val="Hyperlink"/>
          </w:rPr>
          <w:t>11</w:t>
        </w:r>
      </w:hyperlink>
      <w:r>
        <w:t>], with a consequent impact on invasion success. As such, we find that studying the effect of developmental conditions on behavioural flexibility can be key to understand and predict the success of invasive species.</w:t>
      </w:r>
      <w:r>
        <w:br/>
        <w:t>In this scenario, prenatal Glucocorticoids (GCs) and thermal environment can be salient factors in the study of behavioural flexibility within the context of invasion biology. On one hand, GCs are the main group of hormones related to animals’ response towards alterations in homeostasis [</w:t>
      </w:r>
      <w:hyperlink w:anchor="ref-sapolsky_how_2000">
        <w:r>
          <w:rPr>
            <w:rStyle w:val="Hyperlink"/>
          </w:rPr>
          <w:t>12</w:t>
        </w:r>
      </w:hyperlink>
      <w:r>
        <w:t>] that may become relevant when facing new environments and their new thermal conditions [</w:t>
      </w:r>
      <w:hyperlink w:anchor="ref-Crino_2023">
        <w:r>
          <w:rPr>
            <w:rStyle w:val="Hyperlink"/>
          </w:rPr>
          <w:t>13</w:t>
        </w:r>
      </w:hyperlink>
      <w:r>
        <w:t>]. On the other hand, there is evidence that both developmental GCs and thermal environment can impact cognition in different taxa [</w:t>
      </w:r>
      <w:hyperlink w:anchor="ref-zhu_prenatal_2004">
        <w:r>
          <w:rPr>
            <w:rStyle w:val="Hyperlink"/>
          </w:rPr>
          <w:t>9</w:t>
        </w:r>
      </w:hyperlink>
      <w:r>
        <w:t>–</w:t>
      </w:r>
      <w:hyperlink w:anchor="ref-lui2017chronic">
        <w:r>
          <w:rPr>
            <w:rStyle w:val="Hyperlink"/>
          </w:rPr>
          <w:t>11</w:t>
        </w:r>
      </w:hyperlink>
      <w:r>
        <w:t>,</w:t>
      </w:r>
      <w:hyperlink w:anchor="ref-amiel_hotter_2012">
        <w:r>
          <w:rPr>
            <w:rStyle w:val="Hyperlink"/>
          </w:rPr>
          <w:t>14</w:t>
        </w:r>
      </w:hyperlink>
      <w:r>
        <w:t>]. For instance, young Sprague-Dawley rats treated with Corticosterone (CORT) - the principal GC in rodents, birds, and reptiles [</w:t>
      </w:r>
      <w:hyperlink w:anchor="ref-Crino_2023">
        <w:r>
          <w:rPr>
            <w:rStyle w:val="Hyperlink"/>
          </w:rPr>
          <w:t>13</w:t>
        </w:r>
      </w:hyperlink>
      <w:r>
        <w:t>] - performed worse than controls in a reversal learning task [</w:t>
      </w:r>
      <w:hyperlink w:anchor="ref-lui2017chronic">
        <w:r>
          <w:rPr>
            <w:rStyle w:val="Hyperlink"/>
          </w:rPr>
          <w:t>11</w:t>
        </w:r>
      </w:hyperlink>
      <w:r>
        <w:t>], while exposure of pregnant guinea pigs to higher temperatures resulted in significant impariments with offspring behavoural flexibility [</w:t>
      </w:r>
      <w:hyperlink w:anchor="ref-jonson1976effect">
        <w:r>
          <w:rPr>
            <w:rStyle w:val="Hyperlink"/>
          </w:rPr>
          <w:t>10</w:t>
        </w:r>
      </w:hyperlink>
      <w:r>
        <w:t>]. In addition, the cognitive effects of both factors are triggered by similar physiological mechanisms intertwined with brain development [</w:t>
      </w:r>
      <w:hyperlink w:anchor="ref-zhu_prenatal_2004">
        <w:r>
          <w:rPr>
            <w:rStyle w:val="Hyperlink"/>
          </w:rPr>
          <w:t>9</w:t>
        </w:r>
      </w:hyperlink>
      <w:r>
        <w:t>,</w:t>
      </w:r>
      <w:hyperlink w:anchor="ref-jonson1976effect">
        <w:r>
          <w:rPr>
            <w:rStyle w:val="Hyperlink"/>
          </w:rPr>
          <w:t>10</w:t>
        </w:r>
      </w:hyperlink>
      <w:r>
        <w:t>,</w:t>
      </w:r>
      <w:hyperlink w:anchor="ref-coomber_independent_1997">
        <w:r>
          <w:rPr>
            <w:rStyle w:val="Hyperlink"/>
          </w:rPr>
          <w:t>15</w:t>
        </w:r>
      </w:hyperlink>
      <w:r>
        <w:t>,</w:t>
      </w:r>
      <w:hyperlink w:anchor="ref-amiel_effects_2017">
        <w:r>
          <w:rPr>
            <w:rStyle w:val="Hyperlink"/>
          </w:rPr>
          <w:t>16</w:t>
        </w:r>
      </w:hyperlink>
      <w:r>
        <w:t>], an aspect that is considered essential in succesful invaders [</w:t>
      </w:r>
      <w:hyperlink w:anchor="ref-sol2000behavioural">
        <w:r>
          <w:rPr>
            <w:rStyle w:val="Hyperlink"/>
          </w:rPr>
          <w:t>5</w:t>
        </w:r>
      </w:hyperlink>
      <w:r>
        <w:t>–</w:t>
      </w:r>
      <w:hyperlink w:anchor="ref-amiel_smart_2011">
        <w:r>
          <w:rPr>
            <w:rStyle w:val="Hyperlink"/>
          </w:rPr>
          <w:t>8</w:t>
        </w:r>
      </w:hyperlink>
      <w:r>
        <w:t>].</w:t>
      </w:r>
      <w:r>
        <w:br/>
        <w:t>Here, we studied the interactive contribution of prenatal temperature and CORT on behavioural flexibility in two species that exhibit distinct outcomes in their roles as invasive species, the delicate skink (</w:t>
      </w:r>
      <w:r>
        <w:rPr>
          <w:i/>
          <w:iCs/>
        </w:rPr>
        <w:t>Lampropholis delicata</w:t>
      </w:r>
      <w:r>
        <w:t>) and the common garden skink (</w:t>
      </w:r>
      <w:r>
        <w:rPr>
          <w:i/>
          <w:iCs/>
        </w:rPr>
        <w:t>L. guichenoti</w:t>
      </w:r>
      <w:r>
        <w:t>). These two species are closely related and share similar life history traits [</w:t>
      </w:r>
      <w:hyperlink w:anchor="ref-chapple_know_2011">
        <w:r>
          <w:rPr>
            <w:rStyle w:val="Hyperlink"/>
          </w:rPr>
          <w:t>17</w:t>
        </w:r>
      </w:hyperlink>
      <w:r>
        <w:t>,</w:t>
      </w:r>
      <w:hyperlink w:anchor="ref-chapple_biology_2014">
        <w:r>
          <w:rPr>
            <w:rStyle w:val="Hyperlink"/>
          </w:rPr>
          <w:t>18</w:t>
        </w:r>
      </w:hyperlink>
      <w:r>
        <w:t xml:space="preserve">], but only </w:t>
      </w:r>
      <w:r>
        <w:rPr>
          <w:i/>
          <w:iCs/>
        </w:rPr>
        <w:t>L. delicata</w:t>
      </w:r>
      <w:r>
        <w:t xml:space="preserve"> has been succesful in colonising different areas around the globe [</w:t>
      </w:r>
      <w:hyperlink w:anchor="ref-baker1979rainbow">
        <w:r>
          <w:rPr>
            <w:rStyle w:val="Hyperlink"/>
          </w:rPr>
          <w:t>19</w:t>
        </w:r>
      </w:hyperlink>
      <w:r>
        <w:t>–</w:t>
      </w:r>
      <w:hyperlink w:anchor="ref-chapple2015deliinvLHI">
        <w:r>
          <w:rPr>
            <w:rStyle w:val="Hyperlink"/>
          </w:rPr>
          <w:t>21</w:t>
        </w:r>
      </w:hyperlink>
      <w:r>
        <w:t xml:space="preserve">]. Some studies have shown differences in personality traits between these two species that can be related to higher behavioural flexibility in </w:t>
      </w:r>
      <w:r>
        <w:rPr>
          <w:i/>
          <w:iCs/>
        </w:rPr>
        <w:t>L. delicata</w:t>
      </w:r>
      <w:r>
        <w:t>, and are likely key for its invassive success [</w:t>
      </w:r>
      <w:hyperlink w:anchor="ref-chapple2012can">
        <w:r>
          <w:rPr>
            <w:rStyle w:val="Hyperlink"/>
          </w:rPr>
          <w:t>3</w:t>
        </w:r>
      </w:hyperlink>
      <w:r>
        <w:t>,</w:t>
      </w:r>
      <w:hyperlink w:anchor="ref-chapple_know_2011">
        <w:r>
          <w:rPr>
            <w:rStyle w:val="Hyperlink"/>
          </w:rPr>
          <w:t>17</w:t>
        </w:r>
      </w:hyperlink>
      <w:r>
        <w:t>,</w:t>
      </w:r>
      <w:hyperlink w:anchor="ref-bezzina2014does">
        <w:r>
          <w:rPr>
            <w:rStyle w:val="Hyperlink"/>
          </w:rPr>
          <w:t>22</w:t>
        </w:r>
      </w:hyperlink>
      <w:r>
        <w:t>]. However, differences between species in behavioural flexibility and how this trait is affected by the prenatal environment remains unknown. To investigate these effects, we first manipulated CORT levels and incubation temperature in eggs from both species, and then subjected the juveniles to a reversal learning task as a measure of behavioural flexibility [</w:t>
      </w:r>
      <w:hyperlink w:anchor="ref-brown2010behavioral">
        <w:r>
          <w:rPr>
            <w:rStyle w:val="Hyperlink"/>
          </w:rPr>
          <w:t>1</w:t>
        </w:r>
      </w:hyperlink>
      <w:r>
        <w:t>,</w:t>
      </w:r>
      <w:hyperlink w:anchor="ref-szabo2020can">
        <w:r>
          <w:rPr>
            <w:rStyle w:val="Hyperlink"/>
          </w:rPr>
          <w:t>4</w:t>
        </w:r>
      </w:hyperlink>
      <w:r>
        <w:t xml:space="preserve">]. We predicted that </w:t>
      </w:r>
      <w:r>
        <w:rPr>
          <w:i/>
          <w:iCs/>
        </w:rPr>
        <w:t>L. delicata</w:t>
      </w:r>
      <w:r>
        <w:t xml:space="preserve"> would, on average, perform more proficiently in the task that </w:t>
      </w:r>
      <w:r>
        <w:rPr>
          <w:i/>
          <w:iCs/>
        </w:rPr>
        <w:t>L. guichenoti</w:t>
      </w:r>
      <w:r>
        <w:t xml:space="preserve">. We also anticipated prenatal CORT and temperature to affect the behavioural flexibility of both species, and that </w:t>
      </w:r>
      <w:r>
        <w:rPr>
          <w:i/>
          <w:iCs/>
        </w:rPr>
        <w:t>L. guichenoti</w:t>
      </w:r>
      <w:r>
        <w:t xml:space="preserve"> would be more impacted by the prenatal environment than </w:t>
      </w:r>
      <w:r>
        <w:rPr>
          <w:i/>
          <w:iCs/>
        </w:rPr>
        <w:t xml:space="preserve">L. </w:t>
      </w:r>
      <w:r>
        <w:rPr>
          <w:i/>
          <w:iCs/>
        </w:rPr>
        <w:lastRenderedPageBreak/>
        <w:t>delicata</w:t>
      </w:r>
      <w:r>
        <w:t>. Regarding the directionality of the treatments, high prenatal temperatures are considered to improve performance in cognitive tasks in ectotherms [</w:t>
      </w:r>
      <w:hyperlink w:anchor="ref-amiel_hotter_2012">
        <w:r>
          <w:rPr>
            <w:rStyle w:val="Hyperlink"/>
          </w:rPr>
          <w:t>14</w:t>
        </w:r>
      </w:hyperlink>
      <w:r>
        <w:t>,</w:t>
      </w:r>
      <w:hyperlink w:anchor="ref-amiel_egg_2014">
        <w:r>
          <w:rPr>
            <w:rStyle w:val="Hyperlink"/>
          </w:rPr>
          <w:t>23</w:t>
        </w:r>
      </w:hyperlink>
      <w:r>
        <w:t>,</w:t>
      </w:r>
      <w:hyperlink w:anchor="ref-clark_colour_2014">
        <w:r>
          <w:rPr>
            <w:rStyle w:val="Hyperlink"/>
          </w:rPr>
          <w:t>24</w:t>
        </w:r>
      </w:hyperlink>
      <w:r>
        <w:t>], so we expected those incubated at higher temperatures to perform better in the reversal task. On the other hand, we expected that prenatal CORT would impair the performance of the lizards in the task, as it has been shown in other species [</w:t>
      </w:r>
      <w:hyperlink w:anchor="ref-zhu_prenatal_2004">
        <w:r>
          <w:rPr>
            <w:rStyle w:val="Hyperlink"/>
          </w:rPr>
          <w:t>9</w:t>
        </w:r>
      </w:hyperlink>
      <w:r>
        <w:t>,</w:t>
      </w:r>
      <w:hyperlink w:anchor="ref-lui2017chronic">
        <w:r>
          <w:rPr>
            <w:rStyle w:val="Hyperlink"/>
          </w:rPr>
          <w:t>11</w:t>
        </w:r>
      </w:hyperlink>
      <w:r>
        <w:t>,</w:t>
      </w:r>
      <w:hyperlink w:anchor="ref-lemaire_prenatal_2000">
        <w:r>
          <w:rPr>
            <w:rStyle w:val="Hyperlink"/>
          </w:rPr>
          <w:t>25</w:t>
        </w:r>
      </w:hyperlink>
      <w:r>
        <w:t>]. Finally, we expected an interaction between both treatments, with high temperatures mitigating the negative effects of prenatal CORT on the performance of the lizards in the task.</w:t>
      </w:r>
    </w:p>
    <w:p w14:paraId="63C84CCF" w14:textId="77777777" w:rsidR="00B3615B" w:rsidRDefault="00000000">
      <w:pPr>
        <w:pStyle w:val="Heading2"/>
      </w:pPr>
      <w:bookmarkStart w:id="1" w:name="methods"/>
      <w:bookmarkEnd w:id="0"/>
      <w:r>
        <w:t>Methods</w:t>
      </w:r>
    </w:p>
    <w:p w14:paraId="16379C89" w14:textId="77777777" w:rsidR="00B3615B" w:rsidRDefault="00000000">
      <w:pPr>
        <w:pStyle w:val="Heading4"/>
      </w:pPr>
      <w:bookmarkStart w:id="2" w:name="experimental-design"/>
      <w:r>
        <w:t>Experimental design</w:t>
      </w:r>
    </w:p>
    <w:p w14:paraId="6E7CE67E" w14:textId="77777777" w:rsidR="00B3615B" w:rsidRDefault="00000000">
      <w:pPr>
        <w:pStyle w:val="FirstParagraph"/>
      </w:pPr>
      <w:r>
        <w:t xml:space="preserve">We employed juveniles of both species, </w:t>
      </w:r>
      <w:r>
        <w:rPr>
          <w:i/>
          <w:iCs/>
        </w:rPr>
        <w:t>L. delicata</w:t>
      </w:r>
      <w:r>
        <w:t xml:space="preserve"> and </w:t>
      </w:r>
      <w:r>
        <w:rPr>
          <w:i/>
          <w:iCs/>
        </w:rPr>
        <w:t>L. guichenoti</w:t>
      </w:r>
      <w:r>
        <w:t xml:space="preserve"> that came from a breeding colony kept in the lab. This colony, established in 2019, originates from animals collected in Sydney, likely from similar populations that have become invasive on Lord Howe Island [</w:t>
      </w:r>
      <w:hyperlink w:anchor="ref-chapple2016origin">
        <w:r>
          <w:rPr>
            <w:rStyle w:val="Hyperlink"/>
          </w:rPr>
          <w:t>26</w:t>
        </w:r>
      </w:hyperlink>
      <w:r>
        <w:t>] (details of breeding colony and husbandry in Supplementary Material). To see the effect of prenatal CORT and temperature, eggs were topically supplied with 5µL of CORT dissolved in 70% Ethanol and 30% DMSO (‘CORT’ treatment) or the same volume of the vehicle (‘Control’), and were then incubated at different temperatures (‘Cold’ – 23ºC ± 3ºC or ‘Hot’ – 30ºC ± 3ºC) until hatching.</w:t>
      </w:r>
      <w:r>
        <w:br/>
        <w:t xml:space="preserve">To estimate behavioural flexibility, we examined lizards’ performance in a reversal learning task using colour as the main conditioned stimulus and food (frozen small </w:t>
      </w:r>
      <w:r>
        <w:rPr>
          <w:i/>
          <w:iCs/>
        </w:rPr>
        <w:t>A. domestica</w:t>
      </w:r>
      <w:r>
        <w:t xml:space="preserve">) as a reward (see </w:t>
      </w:r>
      <w:hyperlink w:anchor="fig-Methods">
        <w:r>
          <w:rPr>
            <w:rStyle w:val="Hyperlink"/>
          </w:rPr>
          <w:t>Fig. 1</w:t>
        </w:r>
      </w:hyperlink>
      <w:r>
        <w:t>). The learning test was divided in three main phases: there was first a habituation phase where lizards had to learn to eat from white 3D-printed PLA ramps (9 L x 4 W x 5 H cm); then a second step where lizards had to associate the attainability of food with one colour (</w:t>
      </w:r>
      <w:hyperlink w:anchor="fig-Methods">
        <w:r>
          <w:rPr>
            <w:rStyle w:val="Hyperlink"/>
          </w:rPr>
          <w:t>Fig. 1</w:t>
        </w:r>
      </w:hyperlink>
      <w:r>
        <w:t xml:space="preserve"> Associative task); and finally the reversal task where the colour associated with the attainable food was changed (</w:t>
      </w:r>
      <w:hyperlink w:anchor="fig-Methods">
        <w:r>
          <w:rPr>
            <w:rStyle w:val="Hyperlink"/>
          </w:rPr>
          <w:t>Fig. 1</w:t>
        </w:r>
      </w:hyperlink>
      <w:r>
        <w:t xml:space="preserve"> Reversal task). In associative and reversal tasks we used three different ramps that were identical in size and shape to the ones for the habituation phase. The colours of the ramps were green, red, and blue, as previous studies demonstrate that squamates can discriminate between these colours [</w:t>
      </w:r>
      <w:hyperlink w:anchor="ref-Baden_Osorio_2019_Vert_vision">
        <w:r>
          <w:rPr>
            <w:rStyle w:val="Hyperlink"/>
          </w:rPr>
          <w:t>27</w:t>
        </w:r>
      </w:hyperlink>
      <w:r>
        <w:t>]. To control for potential colour biases, we assigned one group of lizards to associate the blue ramp with the attainable food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To avoid the use of chemical cues, we placed the food reward in all three ramps, but in two of them the cricket was covered by small white lids with holes on the top. Lizards were tested once daily between 11 to 12 am, when lizards are active. The training phase lasted 38 days, the Associaive learning task 35, and the Reversal learning task 40 days. We recorded and analysed manually all trials form the learning phases using a standard video player (IINA). PR was the main researcher analysing the data, and was blinded to the lizards’ treatment until the end of the analyses. We used as the main variable whether the animal chose the correct ramp first or not. We considered that a choice was made if the head of the lizard was inside the well of one of the ramps. We considered a trial failed if there was no choice in one hour of recording and those trials were considered as ‘non data’ in the analyses. Here, we analysed the data of the reversal as an index of behavioural flexibility [</w:t>
      </w:r>
      <w:hyperlink w:anchor="ref-brown2010behavioral">
        <w:r>
          <w:rPr>
            <w:rStyle w:val="Hyperlink"/>
          </w:rPr>
          <w:t>1</w:t>
        </w:r>
      </w:hyperlink>
      <w:r>
        <w:t>].</w:t>
      </w:r>
    </w:p>
    <w:tbl>
      <w:tblPr>
        <w:tblStyle w:val="Table"/>
        <w:tblW w:w="5000" w:type="pct"/>
        <w:tblLook w:val="0000" w:firstRow="0" w:lastRow="0" w:firstColumn="0" w:lastColumn="0" w:noHBand="0" w:noVBand="0"/>
      </w:tblPr>
      <w:tblGrid>
        <w:gridCol w:w="9360"/>
      </w:tblGrid>
      <w:tr w:rsidR="00B3615B" w14:paraId="7F38D5CD" w14:textId="77777777">
        <w:tc>
          <w:tcPr>
            <w:tcW w:w="0" w:type="auto"/>
          </w:tcPr>
          <w:p w14:paraId="48A36EDA" w14:textId="77777777" w:rsidR="00B3615B" w:rsidRDefault="00000000">
            <w:pPr>
              <w:jc w:val="center"/>
            </w:pPr>
            <w:bookmarkStart w:id="3" w:name="fig-Methods"/>
            <w:r>
              <w:rPr>
                <w:noProof/>
              </w:rPr>
              <w:lastRenderedPageBreak/>
              <w:drawing>
                <wp:inline distT="0" distB="0" distL="0" distR="0" wp14:anchorId="779F177C" wp14:editId="2D54E490">
                  <wp:extent cx="3810000" cy="2540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Others/BEHFLEX_FIG_1.svg"/>
                          <pic:cNvPicPr>
                            <a:picLocks noChangeAspect="1" noChangeArrowheads="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3810000" cy="2540000"/>
                          </a:xfrm>
                          <a:prstGeom prst="rect">
                            <a:avLst/>
                          </a:prstGeom>
                          <a:noFill/>
                          <a:ln w="9525">
                            <a:noFill/>
                            <a:headEnd/>
                            <a:tailEnd/>
                          </a:ln>
                        </pic:spPr>
                      </pic:pic>
                    </a:graphicData>
                  </a:graphic>
                </wp:inline>
              </w:drawing>
            </w:r>
          </w:p>
          <w:p w14:paraId="40E07D6F" w14:textId="77777777" w:rsidR="00B3615B" w:rsidRDefault="00000000">
            <w:pPr>
              <w:pStyle w:val="ImageCaption"/>
              <w:spacing w:before="200"/>
            </w:pPr>
            <w:r>
              <w:t>Fig 1— Experimental design of early environment manipulation and learning tasks. Stages 1-3 indicate the different phases of the habituation phase. In the associative and reversal tasks, white lids show the ramps where the food reward was not attainable.</w:t>
            </w:r>
          </w:p>
        </w:tc>
        <w:bookmarkEnd w:id="3"/>
      </w:tr>
    </w:tbl>
    <w:p w14:paraId="426F0871" w14:textId="77777777" w:rsidR="00B3615B" w:rsidRDefault="00000000">
      <w:pPr>
        <w:pStyle w:val="Heading4"/>
      </w:pPr>
      <w:bookmarkStart w:id="4" w:name="statistical-analyses"/>
      <w:bookmarkEnd w:id="2"/>
      <w:r>
        <w:t>Statistical analyses</w:t>
      </w:r>
    </w:p>
    <w:p w14:paraId="38A3B157" w14:textId="77777777" w:rsidR="00B3615B" w:rsidRDefault="00000000">
      <w:pPr>
        <w:pStyle w:val="FirstParagraph"/>
      </w:pPr>
      <w:r>
        <w:t>We performed the analyses for both species separately. We fitted a total of two different Bayesian multilevel models using the brm function from the brms package ([</w:t>
      </w:r>
      <w:hyperlink w:anchor="ref-burkner2017brms">
        <w:r>
          <w:rPr>
            <w:rStyle w:val="Hyperlink"/>
          </w:rPr>
          <w:t>28</w:t>
        </w:r>
      </w:hyperlink>
      <w:r>
        <w:t>]) in Quarto ([</w:t>
      </w:r>
      <w:hyperlink w:anchor="ref-Allaire_Quarto_2022">
        <w:r>
          <w:rPr>
            <w:rStyle w:val="Hyperlink"/>
          </w:rPr>
          <w:t>29</w:t>
        </w:r>
      </w:hyperlink>
      <w:r>
        <w:t>]). We had per each model four parallel chains of 3000 iterations, with a warm up interval of 1000 iterations. We used ‘Choice’ - whether the individual chose correct (1) or not (0) - as the response variable; and trial, hormone (‘CORT’ versus ‘Control’), incubation temperature (‘Cold’ versus ‘Hot’), and their interaction as fixed factors. Lizard identity was employed as a random intercept, and as a random slope we included the trial within each level of lizard identity. We used the posterior distributions of these models to evaluate differences in learning rate between treatments and species. Learning slopes were obtained using the estimates of the variable trial per each level of the hormone-temperature interaction (‘Treatments’); values bigger from zero were considered as evidence of learning, while those less or equal to zero not. We used the pmcmc method to test whether those slopes or the comparissons between treatments (e.g. slope for ‘CORT-Cold’ lizards minus ‘CORT-Hot’ lizards) or species were different from zero (two-tailed tests). We considered statistical significance if p-value &lt; 0.05.</w:t>
      </w:r>
    </w:p>
    <w:p w14:paraId="7AD72BB9" w14:textId="77777777" w:rsidR="00B3615B" w:rsidRDefault="00000000">
      <w:pPr>
        <w:pStyle w:val="Heading2"/>
      </w:pPr>
      <w:bookmarkStart w:id="5" w:name="results"/>
      <w:bookmarkEnd w:id="1"/>
      <w:bookmarkEnd w:id="4"/>
      <w:r>
        <w:t>Results</w:t>
      </w:r>
    </w:p>
    <w:p w14:paraId="2BB53F3C" w14:textId="62B72B43" w:rsidR="00B3615B" w:rsidRDefault="00000000">
      <w:pPr>
        <w:pStyle w:val="FirstParagraph"/>
      </w:pPr>
      <w:r>
        <w:t xml:space="preserve">Originally, we started with 96 lizards, 48 per species and 12 per treatment per species. However, due to natural mortality (n = 11), no completion of the training stage (n = 1), or no motivation during the learning tasks (n = 3; see above), we ended up with a total of 81 lizards. Final sample sizes per treatment and species are disclosed on </w:t>
      </w:r>
      <w:r w:rsidR="00736DB2" w:rsidRPr="00736DB2">
        <w:t>Table 1</w:t>
      </w:r>
      <w:r>
        <w:t>.</w:t>
      </w:r>
    </w:p>
    <w:p w14:paraId="0F618515" w14:textId="77777777" w:rsidR="00736DB2" w:rsidRDefault="00736DB2" w:rsidP="00736DB2">
      <w:pPr>
        <w:pStyle w:val="BodyText"/>
      </w:pPr>
    </w:p>
    <w:p w14:paraId="567E2309" w14:textId="77777777" w:rsidR="00736DB2" w:rsidRDefault="00736DB2" w:rsidP="00736DB2">
      <w:pPr>
        <w:pStyle w:val="BodyText"/>
      </w:pPr>
    </w:p>
    <w:p w14:paraId="020B9ACB" w14:textId="77777777" w:rsidR="00736DB2" w:rsidRDefault="00736DB2" w:rsidP="00736DB2">
      <w:pPr>
        <w:pStyle w:val="BodyText"/>
      </w:pPr>
    </w:p>
    <w:p w14:paraId="4360FEB2" w14:textId="17F21B27" w:rsidR="00736DB2" w:rsidRPr="00736DB2" w:rsidRDefault="00736DB2" w:rsidP="00736DB2">
      <w:pPr>
        <w:pStyle w:val="BodyText"/>
      </w:pPr>
      <w:r w:rsidRPr="00736DB2">
        <w:rPr>
          <w:i/>
          <w:iCs/>
        </w:rPr>
        <w:lastRenderedPageBreak/>
        <w:t>Table 1 -</w:t>
      </w:r>
      <w:r w:rsidRPr="00736DB2">
        <w:t xml:space="preserve"> </w:t>
      </w:r>
      <w:r w:rsidRPr="00736DB2">
        <w:t xml:space="preserve">Estimates of Associative learning slope for all the different treatments per each task, </w:t>
      </w:r>
      <w:proofErr w:type="gramStart"/>
      <w:r w:rsidRPr="00736DB2">
        <w:t>species</w:t>
      </w:r>
      <w:proofErr w:type="gramEnd"/>
      <w:r w:rsidRPr="00736DB2">
        <w:t xml:space="preserve"> and group. Mean shows the </w:t>
      </w:r>
      <w:proofErr w:type="spellStart"/>
      <w:r w:rsidRPr="00736DB2">
        <w:t>aritmetic</w:t>
      </w:r>
      <w:proofErr w:type="spellEnd"/>
      <w:r w:rsidRPr="00736DB2">
        <w:t xml:space="preserve"> mean of the estimates obtained from the posteriors of the model, and 95% CI indicates the 95% confidence interval of the mean. All p-values were obtained using </w:t>
      </w:r>
      <w:proofErr w:type="spellStart"/>
      <w:r w:rsidRPr="00736DB2">
        <w:t>pmcmc</w:t>
      </w:r>
      <w:proofErr w:type="spellEnd"/>
      <w:r w:rsidRPr="00736DB2">
        <w:t xml:space="preserve"> and test the hypothesis that the mean is equal to zero. In bold, those values that are significant (p-value &lt;0.05)</w:t>
      </w:r>
    </w:p>
    <w:tbl>
      <w:tblPr>
        <w:tblW w:w="0" w:type="auto"/>
        <w:jc w:val="center"/>
        <w:tblLayout w:type="fixed"/>
        <w:tblLook w:val="0420" w:firstRow="1" w:lastRow="0" w:firstColumn="0" w:lastColumn="0" w:noHBand="0" w:noVBand="1"/>
      </w:tblPr>
      <w:tblGrid>
        <w:gridCol w:w="1572"/>
        <w:gridCol w:w="2350"/>
        <w:gridCol w:w="912"/>
        <w:gridCol w:w="1566"/>
        <w:gridCol w:w="1070"/>
      </w:tblGrid>
      <w:tr w:rsidR="00B3615B" w14:paraId="20150983" w14:textId="77777777">
        <w:trPr>
          <w:tblHeader/>
          <w:jc w:val="center"/>
        </w:trPr>
        <w:tc>
          <w:tcPr>
            <w:tcW w:w="15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7B158"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bookmarkStart w:id="6" w:name="tbl-data"/>
            <w:r>
              <w:rPr>
                <w:rFonts w:ascii="Times New Roman" w:eastAsia="Helvetica" w:hAnsi="Helvetica" w:cs="Helvetica"/>
                <w:color w:val="000000"/>
                <w:sz w:val="22"/>
                <w:szCs w:val="22"/>
              </w:rPr>
              <w:t>Specie</w:t>
            </w:r>
          </w:p>
        </w:tc>
        <w:tc>
          <w:tcPr>
            <w:tcW w:w="23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B60EC"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Treatment</w:t>
            </w:r>
          </w:p>
        </w:tc>
        <w:tc>
          <w:tcPr>
            <w:tcW w:w="91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72236A"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Mean</w:t>
            </w:r>
          </w:p>
        </w:tc>
        <w:tc>
          <w:tcPr>
            <w:tcW w:w="15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C55FA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95% CI</w:t>
            </w:r>
          </w:p>
        </w:tc>
        <w:tc>
          <w:tcPr>
            <w:tcW w:w="107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2F10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p-value</w:t>
            </w:r>
          </w:p>
        </w:tc>
      </w:tr>
      <w:tr w:rsidR="00B3615B" w14:paraId="6C0C5291" w14:textId="77777777">
        <w:trPr>
          <w:jc w:val="center"/>
        </w:trPr>
        <w:tc>
          <w:tcPr>
            <w:tcW w:w="15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A9F02"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delicata</w:t>
            </w:r>
          </w:p>
        </w:tc>
        <w:tc>
          <w:tcPr>
            <w:tcW w:w="23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0750"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11)</w:t>
            </w:r>
          </w:p>
        </w:tc>
        <w:tc>
          <w:tcPr>
            <w:tcW w:w="91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5E02"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0.040</w:t>
            </w:r>
          </w:p>
        </w:tc>
        <w:tc>
          <w:tcPr>
            <w:tcW w:w="15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F3351"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0.023 , 0.059</w:t>
            </w:r>
          </w:p>
        </w:tc>
        <w:tc>
          <w:tcPr>
            <w:tcW w:w="107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073EF"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5AB678FD"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6E1A"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4A4CD"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12)</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31FA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0.062</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1C840"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0.045 , 0.081</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BE17F"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493F5CA0"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6711"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B2E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12)</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CC1D"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0.057</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C54F8"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0.039 , 0.075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47F2B"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5AC80D02" w14:textId="77777777">
        <w:trPr>
          <w:jc w:val="center"/>
        </w:trPr>
        <w:tc>
          <w:tcPr>
            <w:tcW w:w="157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D15552"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35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C2F38B"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12)</w:t>
            </w:r>
          </w:p>
        </w:tc>
        <w:tc>
          <w:tcPr>
            <w:tcW w:w="91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0603A5"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0.045</w:t>
            </w:r>
          </w:p>
        </w:tc>
        <w:tc>
          <w:tcPr>
            <w:tcW w:w="15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C6BD3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0.027 , 0.063</w:t>
            </w:r>
          </w:p>
        </w:tc>
        <w:tc>
          <w:tcPr>
            <w:tcW w:w="10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55AC83"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76480160" w14:textId="77777777">
        <w:trPr>
          <w:jc w:val="center"/>
        </w:trPr>
        <w:tc>
          <w:tcPr>
            <w:tcW w:w="157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E37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guichenoti</w:t>
            </w:r>
          </w:p>
        </w:tc>
        <w:tc>
          <w:tcPr>
            <w:tcW w:w="235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08A0"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10)</w:t>
            </w:r>
          </w:p>
        </w:tc>
        <w:tc>
          <w:tcPr>
            <w:tcW w:w="91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DA50A"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0.048</w:t>
            </w:r>
          </w:p>
        </w:tc>
        <w:tc>
          <w:tcPr>
            <w:tcW w:w="156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12BFA"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0.026 , 0.073</w:t>
            </w:r>
          </w:p>
        </w:tc>
        <w:tc>
          <w:tcPr>
            <w:tcW w:w="107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0EA43"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0.0005</w:t>
            </w:r>
          </w:p>
        </w:tc>
      </w:tr>
      <w:tr w:rsidR="00B3615B" w14:paraId="6ED1322C"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9B570"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26360"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7)</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B43F9"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0.061</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B8917"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0.032 , 0.093</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704D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0.0003</w:t>
            </w:r>
          </w:p>
        </w:tc>
      </w:tr>
      <w:tr w:rsidR="00B3615B" w14:paraId="74428A57"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EB73F"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3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D012"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10)</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2F06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0.065</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D32D3"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0.04 , 0.09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A44B"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07FA7145" w14:textId="77777777">
        <w:trPr>
          <w:jc w:val="center"/>
        </w:trPr>
        <w:tc>
          <w:tcPr>
            <w:tcW w:w="15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2152E"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3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35D01"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10)</w:t>
            </w:r>
          </w:p>
        </w:tc>
        <w:tc>
          <w:tcPr>
            <w:tcW w:w="91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3BA4B"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0.062</w:t>
            </w:r>
          </w:p>
        </w:tc>
        <w:tc>
          <w:tcPr>
            <w:tcW w:w="15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E9B4C"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0.038 , 0.089</w:t>
            </w:r>
          </w:p>
        </w:tc>
        <w:tc>
          <w:tcPr>
            <w:tcW w:w="107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689A7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bookmarkEnd w:id="6"/>
    </w:tbl>
    <w:p w14:paraId="19256AA9" w14:textId="77777777" w:rsidR="00736DB2" w:rsidRDefault="00736DB2">
      <w:pPr>
        <w:pStyle w:val="BodyText"/>
      </w:pPr>
    </w:p>
    <w:p w14:paraId="557967C3" w14:textId="38E08A46" w:rsidR="00B3615B" w:rsidRDefault="00000000">
      <w:pPr>
        <w:pStyle w:val="BodyText"/>
      </w:pPr>
      <w:r>
        <w:t xml:space="preserve">We did not find any significant differences between treatments in </w:t>
      </w:r>
      <w:r>
        <w:rPr>
          <w:i/>
          <w:iCs/>
        </w:rPr>
        <w:t>L. delicata</w:t>
      </w:r>
      <w:r>
        <w:t xml:space="preserve"> (‘Control-Cold’ - ‘CORT-Cold’ = 0.022, p- value = 0.082; ‘Control-Hot’ - ‘CORT-Hot’ = -0.012, p- value = 0.363; ‘Control-Hot’ - ‘Control-Cold’ = -0.018, p-value = 0.188; ‘CORT-Hot’ - ‘CORT-Cold’ = 0.016, p-value = 0.208) (see </w:t>
      </w:r>
      <w:hyperlink w:anchor="fig-results">
        <w:r>
          <w:rPr>
            <w:rStyle w:val="Hyperlink"/>
          </w:rPr>
          <w:t>Fig. 2</w:t>
        </w:r>
      </w:hyperlink>
      <w:r>
        <w:t xml:space="preserve">) or </w:t>
      </w:r>
      <w:r>
        <w:rPr>
          <w:i/>
          <w:iCs/>
        </w:rPr>
        <w:t>L. guichenoti</w:t>
      </w:r>
      <w:r>
        <w:t xml:space="preserve"> (‘Control-Cold’ - ‘CORT-Cold’ = 0.013, p- value = 0.484; ‘Control-Hot’ - ‘CORT-Hot’ = -0.003, p- value = 0.861; ‘Control-Hot’ - ‘Control-Cold’ = 0.001, p-value = 0.941; ‘CORT-Hot’ - ‘CORT-Cold’ = 0.017, p-value = 0.315) (see </w:t>
      </w:r>
      <w:hyperlink w:anchor="fig-results">
        <w:r>
          <w:rPr>
            <w:rStyle w:val="Hyperlink"/>
          </w:rPr>
          <w:t>Fig. 2</w:t>
        </w:r>
      </w:hyperlink>
      <w:r>
        <w:t>). When pooled together, we did not find any effect of incubation temperature (</w:t>
      </w:r>
      <w:r>
        <w:rPr>
          <w:i/>
          <w:iCs/>
        </w:rPr>
        <w:t>L. delicata</w:t>
      </w:r>
      <w:r>
        <w:t xml:space="preserve">: ‘Hot’ learning slope - ‘Cold’ learning slope = -0.001, p-value = 0.952; </w:t>
      </w:r>
      <w:r>
        <w:rPr>
          <w:i/>
          <w:iCs/>
        </w:rPr>
        <w:t>L. guichenoti</w:t>
      </w:r>
      <w:r>
        <w:t>: ‘Hot’ learning slope - ‘Cold’ learning slope = 0.018, p-value = 0.48) or the hormone (</w:t>
      </w:r>
      <w:r>
        <w:rPr>
          <w:i/>
          <w:iCs/>
        </w:rPr>
        <w:t>L. delicata</w:t>
      </w:r>
      <w:r>
        <w:t>: ‘Control’ learning slope - ‘CORT’ learning slope = 0.01, p-value = 0.591;</w:t>
      </w:r>
      <w:r>
        <w:rPr>
          <w:i/>
          <w:iCs/>
        </w:rPr>
        <w:t>L. guichenoti</w:t>
      </w:r>
      <w:r>
        <w:t>: ‘Control’ learning slope - ‘CORT’ learning slope = 0.01, p-value = 0.69). Finally, we did not find any significant differences when we compared the estimated slopes between species for the reversal task (</w:t>
      </w:r>
      <w:r>
        <w:rPr>
          <w:i/>
          <w:iCs/>
        </w:rPr>
        <w:t>L. delicata</w:t>
      </w:r>
      <w:r>
        <w:t xml:space="preserve"> - </w:t>
      </w:r>
      <w:r>
        <w:rPr>
          <w:i/>
          <w:iCs/>
        </w:rPr>
        <w:t>L. guichenoti</w:t>
      </w:r>
      <w:r>
        <w:t xml:space="preserve"> = -0.033, p-value = 0.317).</w:t>
      </w:r>
    </w:p>
    <w:tbl>
      <w:tblPr>
        <w:tblStyle w:val="Table"/>
        <w:tblW w:w="5000" w:type="pct"/>
        <w:tblLook w:val="0000" w:firstRow="0" w:lastRow="0" w:firstColumn="0" w:lastColumn="0" w:noHBand="0" w:noVBand="0"/>
      </w:tblPr>
      <w:tblGrid>
        <w:gridCol w:w="9360"/>
      </w:tblGrid>
      <w:tr w:rsidR="00B3615B" w14:paraId="6C0D8C5B" w14:textId="77777777">
        <w:tc>
          <w:tcPr>
            <w:tcW w:w="0" w:type="auto"/>
          </w:tcPr>
          <w:p w14:paraId="2D8E8F97" w14:textId="77777777" w:rsidR="00B3615B" w:rsidRDefault="00000000">
            <w:pPr>
              <w:jc w:val="center"/>
            </w:pPr>
            <w:bookmarkStart w:id="7" w:name="fig-results"/>
            <w:r>
              <w:rPr>
                <w:noProof/>
              </w:rPr>
              <w:lastRenderedPageBreak/>
              <w:drawing>
                <wp:inline distT="0" distB="0" distL="0" distR="0" wp14:anchorId="2CD12D2C" wp14:editId="6FBEC80C">
                  <wp:extent cx="5943600" cy="660424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output/figures/figure_results.png"/>
                          <pic:cNvPicPr>
                            <a:picLocks noChangeAspect="1" noChangeArrowheads="1"/>
                          </pic:cNvPicPr>
                        </pic:nvPicPr>
                        <pic:blipFill>
                          <a:blip r:embed="rId9"/>
                          <a:stretch>
                            <a:fillRect/>
                          </a:stretch>
                        </pic:blipFill>
                        <pic:spPr bwMode="auto">
                          <a:xfrm>
                            <a:off x="0" y="0"/>
                            <a:ext cx="5943600" cy="6604248"/>
                          </a:xfrm>
                          <a:prstGeom prst="rect">
                            <a:avLst/>
                          </a:prstGeom>
                          <a:noFill/>
                          <a:ln w="9525">
                            <a:noFill/>
                            <a:headEnd/>
                            <a:tailEnd/>
                          </a:ln>
                        </pic:spPr>
                      </pic:pic>
                    </a:graphicData>
                  </a:graphic>
                </wp:inline>
              </w:drawing>
            </w:r>
          </w:p>
          <w:p w14:paraId="51274EF9" w14:textId="77777777" w:rsidR="00B3615B" w:rsidRDefault="00000000">
            <w:pPr>
              <w:pStyle w:val="ImageCaption"/>
              <w:spacing w:before="200"/>
            </w:pPr>
            <w:r>
              <w:t>Fig 2—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w:t>
            </w:r>
          </w:p>
        </w:tc>
        <w:bookmarkEnd w:id="7"/>
      </w:tr>
    </w:tbl>
    <w:p w14:paraId="5ECE8075" w14:textId="77777777" w:rsidR="00B3615B" w:rsidRDefault="00000000">
      <w:pPr>
        <w:pStyle w:val="Heading2"/>
      </w:pPr>
      <w:bookmarkStart w:id="8" w:name="discussion"/>
      <w:bookmarkEnd w:id="5"/>
      <w:r>
        <w:lastRenderedPageBreak/>
        <w:t>Discussion</w:t>
      </w:r>
    </w:p>
    <w:p w14:paraId="3322FD05" w14:textId="77777777" w:rsidR="00B3615B" w:rsidRDefault="00000000">
      <w:pPr>
        <w:pStyle w:val="FirstParagraph"/>
      </w:pPr>
      <w:r>
        <w:t>The study embarked on unraveling the interactive effects of prenatal temperature and Glucocorticoids (GCs) on behavioral flexibility in two closely related species, the delicate skink (</w:t>
      </w:r>
      <w:r>
        <w:rPr>
          <w:i/>
          <w:iCs/>
        </w:rPr>
        <w:t>Lampropholis delicata</w:t>
      </w:r>
      <w:r>
        <w:t>) and the common garden skink (</w:t>
      </w:r>
      <w:r>
        <w:rPr>
          <w:i/>
          <w:iCs/>
        </w:rPr>
        <w:t>L. guichenoti</w:t>
      </w:r>
      <w:r>
        <w:t xml:space="preserve">). Despite sharing life history traits, only </w:t>
      </w:r>
      <w:r>
        <w:rPr>
          <w:i/>
          <w:iCs/>
        </w:rPr>
        <w:t>L. delicata</w:t>
      </w:r>
      <w:r>
        <w:t xml:space="preserve"> has proven successful in colonizing various global regions, and we hypothesized this may be related with higher behavioural flexibility. Furthermore, we expected behavioural flexibility in this species to be less susceptible to the effect of early environment since this trait can be adaptive in several stages of invasion that can involve more than one generation. Nevertheless, we did not find any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t xml:space="preserve">Previous studies have shown that </w:t>
      </w:r>
      <w:r>
        <w:rPr>
          <w:i/>
          <w:iCs/>
        </w:rPr>
        <w:t>L. delicata</w:t>
      </w:r>
      <w:r>
        <w:t xml:space="preserve"> is more explorative than </w:t>
      </w:r>
      <w:r>
        <w:rPr>
          <w:i/>
          <w:iCs/>
        </w:rPr>
        <w:t>L. guichenoti</w:t>
      </w:r>
      <w:r>
        <w:t>, which can be advantageous in some facets of the colonization of new environments [</w:t>
      </w:r>
      <w:hyperlink w:anchor="ref-chapple_know_2011">
        <w:r>
          <w:rPr>
            <w:rStyle w:val="Hyperlink"/>
          </w:rPr>
          <w:t>17</w:t>
        </w:r>
      </w:hyperlink>
      <w:r>
        <w:t>]. However, [</w:t>
      </w:r>
      <w:hyperlink w:anchor="ref-bezzina2014does">
        <w:r>
          <w:rPr>
            <w:rStyle w:val="Hyperlink"/>
          </w:rPr>
          <w:t>22</w:t>
        </w:r>
      </w:hyperlink>
      <w:r>
        <w:t xml:space="preserve">] found no differences in learning between the two skinks in an associative learning task. Our results align with the latter study, and suggest that behavioural flexibility does not differ in these species. In addition, we did not find any effect of the treatments on both species. Both results contrast our original predictions, and may indicate that other aspects of their biology are more relevant for </w:t>
      </w:r>
      <w:r>
        <w:rPr>
          <w:i/>
          <w:iCs/>
        </w:rPr>
        <w:t>L. delicata</w:t>
      </w:r>
      <w:r>
        <w:t xml:space="preserve"> success as invaders than behavioural flexibility. For instance, the mentioned differences in exploratory behaviour can be the key factor explaining why </w:t>
      </w:r>
      <w:r>
        <w:rPr>
          <w:i/>
          <w:iCs/>
        </w:rPr>
        <w:t>L. delicata</w:t>
      </w:r>
      <w:r>
        <w:t xml:space="preserve"> and not </w:t>
      </w:r>
      <w:r>
        <w:rPr>
          <w:i/>
          <w:iCs/>
        </w:rPr>
        <w:t>L. guichenoti</w:t>
      </w:r>
      <w:r>
        <w:t xml:space="preserve"> is better at colonising new areas, since exploring more can also enhance the ability to effectively locate novel resources in </w:t>
      </w:r>
      <w:r>
        <w:rPr>
          <w:i/>
          <w:iCs/>
        </w:rPr>
        <w:t>L. delicata</w:t>
      </w:r>
      <w:r>
        <w:t xml:space="preserve"> [</w:t>
      </w:r>
      <w:hyperlink w:anchor="ref-chapple_know_2011">
        <w:r>
          <w:rPr>
            <w:rStyle w:val="Hyperlink"/>
          </w:rPr>
          <w:t>17</w:t>
        </w:r>
      </w:hyperlink>
      <w:r>
        <w:t>].</w:t>
      </w:r>
      <w:r>
        <w:br/>
        <w:t>Our early environment manipulation did not affect the performance of the lizards in the task. We expected CORT to decrease reversal learning abilities and high temperatures to minimize these effects. However, our results show no significant differences between treatments in both species. Our outcome contrast with previous studies that show impairments of high GCs levels in different types of learning tests [</w:t>
      </w:r>
      <w:hyperlink w:anchor="ref-zhu_prenatal_2004">
        <w:r>
          <w:rPr>
            <w:rStyle w:val="Hyperlink"/>
          </w:rPr>
          <w:t>9</w:t>
        </w:r>
      </w:hyperlink>
      <w:r>
        <w:t>,</w:t>
      </w:r>
      <w:hyperlink w:anchor="ref-lemaire_prenatal_2000">
        <w:r>
          <w:rPr>
            <w:rStyle w:val="Hyperlink"/>
          </w:rPr>
          <w:t>25</w:t>
        </w:r>
      </w:hyperlink>
      <w:r>
        <w:t>,</w:t>
      </w:r>
      <w:hyperlink w:anchor="ref-farrell_developmental_2016">
        <w:r>
          <w:rPr>
            <w:rStyle w:val="Hyperlink"/>
          </w:rPr>
          <w:t>30</w:t>
        </w:r>
      </w:hyperlink>
      <w:r>
        <w:t>], but they are consistent with other experiments where GCs increased or did not impact learning abilities [</w:t>
      </w:r>
      <w:hyperlink w:anchor="ref-szuran_water_1994">
        <w:r>
          <w:rPr>
            <w:rStyle w:val="Hyperlink"/>
          </w:rPr>
          <w:t>31</w:t>
        </w:r>
      </w:hyperlink>
      <w:r>
        <w:t>,</w:t>
      </w:r>
      <w:hyperlink w:anchor="ref-bebus_associative_2016">
        <w:r>
          <w:rPr>
            <w:rStyle w:val="Hyperlink"/>
          </w:rPr>
          <w:t>32</w:t>
        </w:r>
      </w:hyperlink>
      <w:r>
        <w:t>]. More striking is the absence of effect of incubation temperature, since most of the studies in reptiles reported better performance when incubated at higher temperatures in different associative learning and motor tasks [</w:t>
      </w:r>
      <w:hyperlink w:anchor="ref-amiel_hotter_2012">
        <w:r>
          <w:rPr>
            <w:rStyle w:val="Hyperlink"/>
          </w:rPr>
          <w:t>14</w:t>
        </w:r>
      </w:hyperlink>
      <w:r>
        <w:t>,</w:t>
      </w:r>
      <w:hyperlink w:anchor="ref-amiel_egg_2014">
        <w:r>
          <w:rPr>
            <w:rStyle w:val="Hyperlink"/>
          </w:rPr>
          <w:t>23</w:t>
        </w:r>
      </w:hyperlink>
      <w:r>
        <w:t>,</w:t>
      </w:r>
      <w:hyperlink w:anchor="ref-clark_colour_2014">
        <w:r>
          <w:rPr>
            <w:rStyle w:val="Hyperlink"/>
          </w:rPr>
          <w:t>24</w:t>
        </w:r>
      </w:hyperlink>
      <w:r>
        <w:t>]; and those studies that reported cold-incubated lizards to learn faster [</w:t>
      </w:r>
      <w:hyperlink w:anchor="ref-dayananda_incubation_2017">
        <w:r>
          <w:rPr>
            <w:rStyle w:val="Hyperlink"/>
          </w:rPr>
          <w:t>33</w:t>
        </w:r>
      </w:hyperlink>
      <w:r>
        <w:t>,</w:t>
      </w:r>
      <w:hyperlink w:anchor="ref-abayarathna_effects_2020">
        <w:r>
          <w:rPr>
            <w:rStyle w:val="Hyperlink"/>
          </w:rPr>
          <w:t>34</w:t>
        </w:r>
      </w:hyperlink>
      <w:r>
        <w:t>] used incubation temperatures far beyond the natural range in the hot treatment. It could be argued whether our results stem from an insufficient manipulation of the prenatal environment, particularly regarding CORT as it is known to have hermetic effects on learning and neural structure [</w:t>
      </w:r>
      <w:hyperlink w:anchor="ref-du_dynamic_2009">
        <w:r>
          <w:rPr>
            <w:rStyle w:val="Hyperlink"/>
          </w:rPr>
          <w:t>35</w:t>
        </w:r>
      </w:hyperlink>
      <w:r>
        <w:t>,</w:t>
      </w:r>
      <w:hyperlink w:anchor="ref-mcewen_brain_2012">
        <w:r>
          <w:rPr>
            <w:rStyle w:val="Hyperlink"/>
          </w:rPr>
          <w:t>36</w:t>
        </w:r>
      </w:hyperlink>
      <w:r>
        <w:t>]. However, we find these possibilities unlikely for two primary reasons. First, we have observed the effects of the treatments on other traits of the lizards (unpublished data). Conversely, we find more plausible that the effects of the early environment may vary depending on the cognitive task, as evidenced by studies showing variations in the impact of prenatal GCs and temperature on different brain regions [</w:t>
      </w:r>
      <w:hyperlink w:anchor="ref-coomber_independent_1997">
        <w:r>
          <w:rPr>
            <w:rStyle w:val="Hyperlink"/>
          </w:rPr>
          <w:t>15</w:t>
        </w:r>
      </w:hyperlink>
      <w:r>
        <w:t>,</w:t>
      </w:r>
      <w:hyperlink w:anchor="ref-lemaire_prenatal_2000">
        <w:r>
          <w:rPr>
            <w:rStyle w:val="Hyperlink"/>
          </w:rPr>
          <w:t>25</w:t>
        </w:r>
      </w:hyperlink>
      <w:r>
        <w:t>,</w:t>
      </w:r>
      <w:hyperlink w:anchor="ref-sakata_neural_2000">
        <w:r>
          <w:rPr>
            <w:rStyle w:val="Hyperlink"/>
          </w:rPr>
          <w:t>37</w:t>
        </w:r>
      </w:hyperlink>
      <w:r>
        <w:t>]. However, this hypothesis requires further testing, involving assessments of performance in various cognitive tasks together with the neurophysiological effects on different brain nuclei.</w:t>
      </w:r>
      <w:r>
        <w:br/>
        <w:t xml:space="preserve">In conclusion, our results indicate that lizards performed the reversal learning task, a measure of behavioral flexibility, at similar rates, with no discernible differences between treatments or species. These findings contrast our initial predictions and suggest that other aspects of </w:t>
      </w:r>
      <w:r>
        <w:rPr>
          <w:i/>
          <w:iCs/>
        </w:rPr>
        <w:t xml:space="preserve">L. </w:t>
      </w:r>
      <w:r>
        <w:rPr>
          <w:i/>
          <w:iCs/>
        </w:rPr>
        <w:lastRenderedPageBreak/>
        <w:t>delicata</w:t>
      </w:r>
      <w:r>
        <w:t xml:space="preserve"> biology may be more influential for their success as invaders than behavioral flexibility alone. The present study also indicates that prenatal CORT and temeprature do not affect learning abilities in these species. Nevertheless, it remains possible that the effects of the early environment are task-dependent, and future studies should explore performance across different cognitive tasks, as well as the effects of both treatments on brain function.</w:t>
      </w:r>
    </w:p>
    <w:p w14:paraId="60516D99" w14:textId="77777777" w:rsidR="00B3615B" w:rsidRDefault="00000000">
      <w:pPr>
        <w:pStyle w:val="Heading2"/>
      </w:pPr>
      <w:bookmarkStart w:id="9" w:name="references"/>
      <w:bookmarkEnd w:id="8"/>
      <w:r>
        <w:t>References</w:t>
      </w:r>
    </w:p>
    <w:p w14:paraId="2EE67D0C" w14:textId="77777777" w:rsidR="00B3615B" w:rsidRDefault="00000000">
      <w:pPr>
        <w:pStyle w:val="Bibliography"/>
      </w:pPr>
      <w:bookmarkStart w:id="10" w:name="ref-brown2010behavioral"/>
      <w:bookmarkStart w:id="11" w:name="refs"/>
      <w:r>
        <w:t xml:space="preserve">1. </w:t>
      </w:r>
      <w:r>
        <w:tab/>
        <w:t xml:space="preserve">Brown VJ, Tait DS. 2010 Behavioral flexibility: Attentional shifting, rule switching and response reversal. </w:t>
      </w:r>
      <w:r>
        <w:rPr>
          <w:i/>
          <w:iCs/>
        </w:rPr>
        <w:t>Encyclopedia of Psychopharmacology, Springer-Verlag: Berlin</w:t>
      </w:r>
      <w:r>
        <w:t>, 209–213.</w:t>
      </w:r>
    </w:p>
    <w:p w14:paraId="5B57EF81" w14:textId="77777777" w:rsidR="00B3615B" w:rsidRDefault="00000000">
      <w:pPr>
        <w:pStyle w:val="Bibliography"/>
      </w:pPr>
      <w:bookmarkStart w:id="12" w:name="ref-wright2010behavioral"/>
      <w:bookmarkEnd w:id="10"/>
      <w:r>
        <w:t xml:space="preserve">2. </w:t>
      </w:r>
      <w:r>
        <w:tab/>
        <w:t xml:space="preserve">Wright TF, Eberhard JR, Hobson EA, Avery ML, Russello MA. 2010 Behavioral flexibility and species invasions: The adaptive flexibility hypothesis. </w:t>
      </w:r>
      <w:r>
        <w:rPr>
          <w:i/>
          <w:iCs/>
        </w:rPr>
        <w:t>Ethology Ecology &amp; Evolution</w:t>
      </w:r>
      <w:r>
        <w:t xml:space="preserve"> </w:t>
      </w:r>
      <w:r>
        <w:rPr>
          <w:b/>
          <w:bCs/>
        </w:rPr>
        <w:t>22</w:t>
      </w:r>
      <w:r>
        <w:t>, 393–404.</w:t>
      </w:r>
    </w:p>
    <w:p w14:paraId="578BFFE7" w14:textId="77777777" w:rsidR="00B3615B" w:rsidRDefault="00000000">
      <w:pPr>
        <w:pStyle w:val="Bibliography"/>
      </w:pPr>
      <w:bookmarkStart w:id="13" w:name="ref-chapple2012can"/>
      <w:bookmarkEnd w:id="12"/>
      <w:r>
        <w:t xml:space="preserve">3. </w:t>
      </w:r>
      <w:r>
        <w:tab/>
        <w:t xml:space="preserve">Chapple DG, Simmonds SM, Wong BB. 2012 Can behavioral and personality traits influence the success of unintentional species introductions? </w:t>
      </w:r>
      <w:r>
        <w:rPr>
          <w:i/>
          <w:iCs/>
        </w:rPr>
        <w:t>Trends in ecology &amp; evolution</w:t>
      </w:r>
      <w:r>
        <w:t xml:space="preserve"> </w:t>
      </w:r>
      <w:r>
        <w:rPr>
          <w:b/>
          <w:bCs/>
        </w:rPr>
        <w:t>27</w:t>
      </w:r>
      <w:r>
        <w:t>, 57–64.</w:t>
      </w:r>
    </w:p>
    <w:p w14:paraId="30E52B2B" w14:textId="77777777" w:rsidR="00B3615B" w:rsidRDefault="00000000">
      <w:pPr>
        <w:pStyle w:val="Bibliography"/>
      </w:pPr>
      <w:bookmarkStart w:id="14" w:name="ref-szabo2020can"/>
      <w:bookmarkEnd w:id="13"/>
      <w:r>
        <w:t xml:space="preserve">4. </w:t>
      </w:r>
      <w:r>
        <w:tab/>
        <w:t xml:space="preserve">Szabo B, Damas-Moreira I, Whiting MJ. 2020 Can cognitive ability give invasive species the means to succeed? A review of the evidence. </w:t>
      </w:r>
      <w:r>
        <w:rPr>
          <w:i/>
          <w:iCs/>
        </w:rPr>
        <w:t>Frontiers in Ecology and Evolution</w:t>
      </w:r>
      <w:r>
        <w:t xml:space="preserve"> </w:t>
      </w:r>
      <w:r>
        <w:rPr>
          <w:b/>
          <w:bCs/>
        </w:rPr>
        <w:t>8</w:t>
      </w:r>
      <w:r>
        <w:t>, 187.</w:t>
      </w:r>
    </w:p>
    <w:p w14:paraId="62B5D9D3" w14:textId="77777777" w:rsidR="00B3615B" w:rsidRDefault="00000000">
      <w:pPr>
        <w:pStyle w:val="Bibliography"/>
      </w:pPr>
      <w:bookmarkStart w:id="15" w:name="ref-sol2000behavioural"/>
      <w:bookmarkEnd w:id="14"/>
      <w:r>
        <w:t xml:space="preserve">5. </w:t>
      </w:r>
      <w:r>
        <w:tab/>
        <w:t xml:space="preserve">Sol D, Lefebvre L. 2000 Behavioural flexibility predicts invasion success in birds introduced to new zealand. </w:t>
      </w:r>
      <w:r>
        <w:rPr>
          <w:i/>
          <w:iCs/>
        </w:rPr>
        <w:t>Oikos</w:t>
      </w:r>
      <w:r>
        <w:t xml:space="preserve"> </w:t>
      </w:r>
      <w:r>
        <w:rPr>
          <w:b/>
          <w:bCs/>
        </w:rPr>
        <w:t>90</w:t>
      </w:r>
      <w:r>
        <w:t>, 599–605.</w:t>
      </w:r>
    </w:p>
    <w:p w14:paraId="75725F3F" w14:textId="77777777" w:rsidR="00B3615B" w:rsidRDefault="00000000">
      <w:pPr>
        <w:pStyle w:val="Bibliography"/>
      </w:pPr>
      <w:bookmarkStart w:id="16" w:name="ref-sol2002behavioural"/>
      <w:bookmarkEnd w:id="15"/>
      <w:r>
        <w:t xml:space="preserve">6. </w:t>
      </w:r>
      <w:r>
        <w:tab/>
        <w:t xml:space="preserve">Sol D, Timmermans S, Lefebvre L. 2002 Behavioural flexibility and invasion success in birds. </w:t>
      </w:r>
      <w:r>
        <w:rPr>
          <w:i/>
          <w:iCs/>
        </w:rPr>
        <w:t>Animal behaviour</w:t>
      </w:r>
      <w:r>
        <w:t xml:space="preserve"> </w:t>
      </w:r>
      <w:r>
        <w:rPr>
          <w:b/>
          <w:bCs/>
        </w:rPr>
        <w:t>63</w:t>
      </w:r>
      <w:r>
        <w:t>, 495–502.</w:t>
      </w:r>
    </w:p>
    <w:p w14:paraId="3FBCEDCC" w14:textId="77777777" w:rsidR="00B3615B" w:rsidRDefault="00000000">
      <w:pPr>
        <w:pStyle w:val="Bibliography"/>
      </w:pPr>
      <w:bookmarkStart w:id="17" w:name="ref-sol2008brain"/>
      <w:bookmarkEnd w:id="16"/>
      <w:r>
        <w:t xml:space="preserve">7. </w:t>
      </w:r>
      <w:r>
        <w:tab/>
        <w:t xml:space="preserve">Sol D, Bacher S, Reader SM, Lefebvre L. 2008 Brain size predicts the success of mammal species introduced into novel environments. </w:t>
      </w:r>
      <w:r>
        <w:rPr>
          <w:i/>
          <w:iCs/>
        </w:rPr>
        <w:t>the american naturalist</w:t>
      </w:r>
      <w:r>
        <w:t xml:space="preserve"> </w:t>
      </w:r>
      <w:r>
        <w:rPr>
          <w:b/>
          <w:bCs/>
        </w:rPr>
        <w:t>172</w:t>
      </w:r>
      <w:r>
        <w:t>, S63–S71.</w:t>
      </w:r>
    </w:p>
    <w:p w14:paraId="4DFB72F7" w14:textId="77777777" w:rsidR="00B3615B" w:rsidRDefault="00000000">
      <w:pPr>
        <w:pStyle w:val="Bibliography"/>
      </w:pPr>
      <w:bookmarkStart w:id="18" w:name="ref-amiel_smart_2011"/>
      <w:bookmarkEnd w:id="17"/>
      <w:r>
        <w:t xml:space="preserve">8. </w:t>
      </w:r>
      <w:r>
        <w:tab/>
        <w:t xml:space="preserve">Amiel JJ, Tingley R, Shine R. 2011 Smart Moves: Effects of Relative Brain Size on Establishment Success of Invasive Amphibians and Reptiles. </w:t>
      </w:r>
      <w:r>
        <w:rPr>
          <w:i/>
          <w:iCs/>
        </w:rPr>
        <w:t>PLoS ONE</w:t>
      </w:r>
      <w:r>
        <w:t xml:space="preserve"> </w:t>
      </w:r>
      <w:r>
        <w:rPr>
          <w:b/>
          <w:bCs/>
        </w:rPr>
        <w:t>6</w:t>
      </w:r>
      <w:r>
        <w:t>, e18277. (doi:</w:t>
      </w:r>
      <w:hyperlink r:id="rId10">
        <w:r>
          <w:rPr>
            <w:rStyle w:val="Hyperlink"/>
          </w:rPr>
          <w:t>10.1371/journal.pone.0018277</w:t>
        </w:r>
      </w:hyperlink>
      <w:r>
        <w:t>)</w:t>
      </w:r>
    </w:p>
    <w:p w14:paraId="42764EFD" w14:textId="77777777" w:rsidR="00B3615B" w:rsidRDefault="00000000">
      <w:pPr>
        <w:pStyle w:val="Bibliography"/>
      </w:pPr>
      <w:bookmarkStart w:id="19" w:name="ref-zhu_prenatal_2004"/>
      <w:bookmarkEnd w:id="18"/>
      <w:r>
        <w:t xml:space="preserve">9. </w:t>
      </w:r>
      <w:r>
        <w:tab/>
        <w:t xml:space="preserve">Zhu Z, Li X, Chen W, Zhao Y, Li H, Qing C, Jia N, Bai Z, Liu J. 2004 Prenatal stress causes gender-dependent neuronal loss and oxidative stress in rat hippocampus. </w:t>
      </w:r>
      <w:r>
        <w:rPr>
          <w:i/>
          <w:iCs/>
        </w:rPr>
        <w:t>Journal of Neuroscience Research</w:t>
      </w:r>
      <w:r>
        <w:t xml:space="preserve"> </w:t>
      </w:r>
      <w:r>
        <w:rPr>
          <w:b/>
          <w:bCs/>
        </w:rPr>
        <w:t>78</w:t>
      </w:r>
      <w:r>
        <w:t>, 837–844. (doi:</w:t>
      </w:r>
      <w:hyperlink r:id="rId11">
        <w:r>
          <w:rPr>
            <w:rStyle w:val="Hyperlink"/>
          </w:rPr>
          <w:t>10.1002/jnr.20338</w:t>
        </w:r>
      </w:hyperlink>
      <w:r>
        <w:t>)</w:t>
      </w:r>
    </w:p>
    <w:p w14:paraId="4FC110E8" w14:textId="77777777" w:rsidR="00B3615B" w:rsidRDefault="00000000">
      <w:pPr>
        <w:pStyle w:val="Bibliography"/>
      </w:pPr>
      <w:bookmarkStart w:id="20" w:name="ref-jonson1976effect"/>
      <w:bookmarkEnd w:id="19"/>
      <w:r>
        <w:t xml:space="preserve">10. </w:t>
      </w:r>
      <w:r>
        <w:tab/>
        <w:t xml:space="preserve">Jonson KM, Lyle JG, Edwards MJ, Penny RH. 1976 Effect of prenatal heat stress on brain growth and serial discrimination reversal learning in the guinea pig. </w:t>
      </w:r>
      <w:r>
        <w:rPr>
          <w:i/>
          <w:iCs/>
        </w:rPr>
        <w:t>Brain research bulletin</w:t>
      </w:r>
      <w:r>
        <w:t xml:space="preserve"> </w:t>
      </w:r>
      <w:r>
        <w:rPr>
          <w:b/>
          <w:bCs/>
        </w:rPr>
        <w:t>1</w:t>
      </w:r>
      <w:r>
        <w:t>, 133–150.</w:t>
      </w:r>
    </w:p>
    <w:p w14:paraId="3CB27BAF" w14:textId="77777777" w:rsidR="00B3615B" w:rsidRDefault="00000000">
      <w:pPr>
        <w:pStyle w:val="Bibliography"/>
      </w:pPr>
      <w:bookmarkStart w:id="21" w:name="ref-lui2017chronic"/>
      <w:bookmarkEnd w:id="20"/>
      <w:r>
        <w:t xml:space="preserve">11. </w:t>
      </w:r>
      <w:r>
        <w:tab/>
        <w:t xml:space="preserve">Lui E, Salim M, Chahal M, Puri N, Marandi E, Quadrilatero J, Satvat E. 2017 Chronic corticosterone-induced impaired cognitive flexibility is not due to suppressed adult hippocampal neurogenesis. </w:t>
      </w:r>
      <w:r>
        <w:rPr>
          <w:i/>
          <w:iCs/>
        </w:rPr>
        <w:t>Behavioural brain research</w:t>
      </w:r>
      <w:r>
        <w:t xml:space="preserve"> </w:t>
      </w:r>
      <w:r>
        <w:rPr>
          <w:b/>
          <w:bCs/>
        </w:rPr>
        <w:t>332</w:t>
      </w:r>
      <w:r>
        <w:t>, 90–98.</w:t>
      </w:r>
    </w:p>
    <w:p w14:paraId="263FB587" w14:textId="77777777" w:rsidR="00B3615B" w:rsidRDefault="00000000">
      <w:pPr>
        <w:pStyle w:val="Bibliography"/>
      </w:pPr>
      <w:bookmarkStart w:id="22" w:name="ref-sapolsky_how_2000"/>
      <w:bookmarkEnd w:id="21"/>
      <w:r>
        <w:lastRenderedPageBreak/>
        <w:t xml:space="preserve">12. </w:t>
      </w:r>
      <w:r>
        <w:tab/>
        <w:t xml:space="preserve">Sapolsky RM, Romero LM, Munck AU. 2000 How Do Glucocorticoids Influence Stress Responses? Integrating Permissive, Suppressive, Stimulatory, and Preparative Actions. </w:t>
      </w:r>
      <w:r>
        <w:rPr>
          <w:b/>
          <w:bCs/>
        </w:rPr>
        <w:t>21</w:t>
      </w:r>
      <w:r>
        <w:t>.</w:t>
      </w:r>
    </w:p>
    <w:p w14:paraId="7523C46C" w14:textId="77777777" w:rsidR="00B3615B" w:rsidRDefault="00000000">
      <w:pPr>
        <w:pStyle w:val="Bibliography"/>
      </w:pPr>
      <w:bookmarkStart w:id="23" w:name="ref-Crino_2023"/>
      <w:bookmarkEnd w:id="22"/>
      <w:r>
        <w:t xml:space="preserve">13. </w:t>
      </w:r>
      <w:r>
        <w:tab/>
        <w:t xml:space="preserve">Crino OL, Bonduriansky R, Martin LB, Noble DWA. 2023 A conceptual framework for understanding stressinduced physiological and transgenerational effects on population responses to climate change. </w:t>
      </w:r>
      <w:r>
        <w:rPr>
          <w:i/>
          <w:iCs/>
        </w:rPr>
        <w:t>Evolution Letters</w:t>
      </w:r>
      <w:r>
        <w:t xml:space="preserve"> </w:t>
      </w:r>
    </w:p>
    <w:p w14:paraId="78334EE7" w14:textId="77777777" w:rsidR="00B3615B" w:rsidRDefault="00000000">
      <w:pPr>
        <w:pStyle w:val="Bibliography"/>
      </w:pPr>
      <w:bookmarkStart w:id="24" w:name="ref-amiel_hotter_2012"/>
      <w:bookmarkEnd w:id="23"/>
      <w:r>
        <w:t xml:space="preserve">14. </w:t>
      </w:r>
      <w:r>
        <w:tab/>
        <w:t xml:space="preserve">Amiel JJ, Shine R. 2012 Hotter nests produce smarter young lizards. </w:t>
      </w:r>
      <w:r>
        <w:rPr>
          <w:i/>
          <w:iCs/>
        </w:rPr>
        <w:t>Biology Letters</w:t>
      </w:r>
      <w:r>
        <w:t xml:space="preserve"> </w:t>
      </w:r>
      <w:r>
        <w:rPr>
          <w:b/>
          <w:bCs/>
        </w:rPr>
        <w:t>8</w:t>
      </w:r>
      <w:r>
        <w:t>, 372–374. (doi:</w:t>
      </w:r>
      <w:hyperlink r:id="rId12">
        <w:r>
          <w:rPr>
            <w:rStyle w:val="Hyperlink"/>
          </w:rPr>
          <w:t>10.1098/rsbl.2011.1161</w:t>
        </w:r>
      </w:hyperlink>
      <w:r>
        <w:t>)</w:t>
      </w:r>
    </w:p>
    <w:p w14:paraId="6366F4DE" w14:textId="77777777" w:rsidR="00B3615B" w:rsidRDefault="00000000">
      <w:pPr>
        <w:pStyle w:val="Bibliography"/>
      </w:pPr>
      <w:bookmarkStart w:id="25" w:name="ref-coomber_independent_1997"/>
      <w:bookmarkEnd w:id="24"/>
      <w:r>
        <w:t xml:space="preserve">15. </w:t>
      </w:r>
      <w: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Pr>
          <w:i/>
          <w:iCs/>
        </w:rPr>
        <w:t>The Journal of Comparative Neurology</w:t>
      </w:r>
      <w:r>
        <w:t xml:space="preserve"> </w:t>
      </w:r>
      <w:r>
        <w:rPr>
          <w:b/>
          <w:bCs/>
        </w:rPr>
        <w:t>380</w:t>
      </w:r>
      <w:r>
        <w:t>, 409–421. (doi:</w:t>
      </w:r>
      <w:hyperlink r:id="rId13">
        <w:r>
          <w:rPr>
            <w:rStyle w:val="Hyperlink"/>
          </w:rPr>
          <w:t>10.1002/(SICI)1096-9861(19970414)380:3&lt;409::AID-CNE9&gt;3.0.CO;2-6</w:t>
        </w:r>
      </w:hyperlink>
      <w:r>
        <w:t>)</w:t>
      </w:r>
    </w:p>
    <w:p w14:paraId="7FCCD9B6" w14:textId="77777777" w:rsidR="00B3615B" w:rsidRDefault="00000000">
      <w:pPr>
        <w:pStyle w:val="Bibliography"/>
      </w:pPr>
      <w:bookmarkStart w:id="26" w:name="ref-amiel_effects_2017"/>
      <w:bookmarkEnd w:id="25"/>
      <w:r>
        <w:t xml:space="preserve">16. </w:t>
      </w:r>
      <w:r>
        <w:tab/>
        <w:t xml:space="preserve">Amiel JJ, Bao S, Shine R. 2017 The effects of incubation temperature on the development of the cortical forebrain in a lizard. </w:t>
      </w:r>
      <w:r>
        <w:rPr>
          <w:i/>
          <w:iCs/>
        </w:rPr>
        <w:t>Animal Cognition</w:t>
      </w:r>
      <w:r>
        <w:t xml:space="preserve"> </w:t>
      </w:r>
      <w:r>
        <w:rPr>
          <w:b/>
          <w:bCs/>
        </w:rPr>
        <w:t>20</w:t>
      </w:r>
      <w:r>
        <w:t>, 117–125. (doi:</w:t>
      </w:r>
      <w:hyperlink r:id="rId14">
        <w:r>
          <w:rPr>
            <w:rStyle w:val="Hyperlink"/>
          </w:rPr>
          <w:t>10.1007/s10071-016-0993-2</w:t>
        </w:r>
      </w:hyperlink>
      <w:r>
        <w:t>)</w:t>
      </w:r>
    </w:p>
    <w:p w14:paraId="70C91EFD" w14:textId="77777777" w:rsidR="00B3615B" w:rsidRDefault="00000000">
      <w:pPr>
        <w:pStyle w:val="Bibliography"/>
      </w:pPr>
      <w:bookmarkStart w:id="27" w:name="ref-chapple_know_2011"/>
      <w:bookmarkEnd w:id="26"/>
      <w:r>
        <w:t xml:space="preserve">17. </w:t>
      </w:r>
      <w:r>
        <w:tab/>
        <w:t xml:space="preserve">Chapple DG, Simmonds SM, Wong BBM. 2011 Know when to run, know when to hide: Can behavioral differences explain the divergent invasion success of two sympatric lizards?: Invasion Success of Two Sympatric Lizards. </w:t>
      </w:r>
      <w:r>
        <w:rPr>
          <w:i/>
          <w:iCs/>
        </w:rPr>
        <w:t>Ecology and Evolution</w:t>
      </w:r>
      <w:r>
        <w:t xml:space="preserve"> </w:t>
      </w:r>
      <w:r>
        <w:rPr>
          <w:b/>
          <w:bCs/>
        </w:rPr>
        <w:t>1</w:t>
      </w:r>
      <w:r>
        <w:t>, 278–289. (doi:</w:t>
      </w:r>
      <w:hyperlink r:id="rId15">
        <w:r>
          <w:rPr>
            <w:rStyle w:val="Hyperlink"/>
          </w:rPr>
          <w:t>10.1002/ece3.22</w:t>
        </w:r>
      </w:hyperlink>
      <w:r>
        <w:t>)</w:t>
      </w:r>
    </w:p>
    <w:p w14:paraId="6EB6C41F" w14:textId="77777777" w:rsidR="00B3615B" w:rsidRDefault="00000000">
      <w:pPr>
        <w:pStyle w:val="Bibliography"/>
      </w:pPr>
      <w:bookmarkStart w:id="28" w:name="ref-chapple_biology_2014"/>
      <w:bookmarkEnd w:id="27"/>
      <w:r>
        <w:t xml:space="preserve">18. </w:t>
      </w:r>
      <w:r>
        <w:tab/>
        <w:t xml:space="preserve">Chapple DG, Miller KA, Chaplin K, Barnett L, Thompson MB, Bray RD. 2014 Biology of the invasive delicate skink (Lampropholis delicata) on Lord Howe Island. </w:t>
      </w:r>
      <w:r>
        <w:rPr>
          <w:i/>
          <w:iCs/>
        </w:rPr>
        <w:t>Australian Journal of Zoology</w:t>
      </w:r>
      <w:r>
        <w:t xml:space="preserve"> </w:t>
      </w:r>
      <w:r>
        <w:rPr>
          <w:b/>
          <w:bCs/>
        </w:rPr>
        <w:t>62</w:t>
      </w:r>
      <w:r>
        <w:t>, 498. (doi:</w:t>
      </w:r>
      <w:hyperlink r:id="rId16">
        <w:r>
          <w:rPr>
            <w:rStyle w:val="Hyperlink"/>
          </w:rPr>
          <w:t>10.1071/ZO14098</w:t>
        </w:r>
      </w:hyperlink>
      <w:r>
        <w:t>)</w:t>
      </w:r>
    </w:p>
    <w:p w14:paraId="748ECEF9" w14:textId="77777777" w:rsidR="00B3615B" w:rsidRDefault="00000000">
      <w:pPr>
        <w:pStyle w:val="Bibliography"/>
      </w:pPr>
      <w:bookmarkStart w:id="29" w:name="ref-baker1979rainbow"/>
      <w:bookmarkEnd w:id="28"/>
      <w:r>
        <w:t xml:space="preserve">19. </w:t>
      </w:r>
      <w:r>
        <w:tab/>
        <w:t xml:space="preserve">Baker JK. 1979 The rainbow skink, lampropholis delicata, in hawaii. </w:t>
      </w:r>
    </w:p>
    <w:p w14:paraId="25A70E16" w14:textId="77777777" w:rsidR="00B3615B" w:rsidRDefault="00000000">
      <w:pPr>
        <w:pStyle w:val="Bibliography"/>
      </w:pPr>
      <w:bookmarkStart w:id="30" w:name="ref-chapple2013divergent"/>
      <w:bookmarkEnd w:id="29"/>
      <w:r>
        <w:t xml:space="preserve">20. </w:t>
      </w:r>
      <w:r>
        <w:tab/>
        <w:t xml:space="preserve">Chapple DG, Miller KA, Kraus F, Thompson MB. 2013 Divergent introduction histories among invasive populations of the delicate skink (l ampropholis delicata): Has the importance of genetic admixture in the success of biological invasions been overemphasized? </w:t>
      </w:r>
      <w:r>
        <w:rPr>
          <w:i/>
          <w:iCs/>
        </w:rPr>
        <w:t>Diversity and Distributions</w:t>
      </w:r>
      <w:r>
        <w:t xml:space="preserve"> </w:t>
      </w:r>
      <w:r>
        <w:rPr>
          <w:b/>
          <w:bCs/>
        </w:rPr>
        <w:t>19</w:t>
      </w:r>
      <w:r>
        <w:t>, 134–146.</w:t>
      </w:r>
    </w:p>
    <w:p w14:paraId="14D41D90" w14:textId="77777777" w:rsidR="00B3615B" w:rsidRDefault="00000000">
      <w:pPr>
        <w:pStyle w:val="Bibliography"/>
      </w:pPr>
      <w:bookmarkStart w:id="31" w:name="ref-chapple2015deliinvLHI"/>
      <w:bookmarkEnd w:id="30"/>
      <w:r>
        <w:t xml:space="preserve">21. </w:t>
      </w:r>
      <w:r>
        <w:tab/>
        <w:t xml:space="preserve">Chapple DG, Miller KA, Chaplin K, Barnett L, Thompson MB, Bray RD. 2015 Biology of the invasive delicate skink (lampropholis delicata) on lord howe island. </w:t>
      </w:r>
      <w:r>
        <w:rPr>
          <w:i/>
          <w:iCs/>
        </w:rPr>
        <w:t>Australian Journal of Zoology</w:t>
      </w:r>
      <w:r>
        <w:t xml:space="preserve"> </w:t>
      </w:r>
      <w:r>
        <w:rPr>
          <w:b/>
          <w:bCs/>
        </w:rPr>
        <w:t>62</w:t>
      </w:r>
      <w:r>
        <w:t>, 498–506.</w:t>
      </w:r>
    </w:p>
    <w:p w14:paraId="287EE04D" w14:textId="77777777" w:rsidR="00B3615B" w:rsidRDefault="00000000">
      <w:pPr>
        <w:pStyle w:val="Bibliography"/>
      </w:pPr>
      <w:bookmarkStart w:id="32" w:name="ref-bezzina2014does"/>
      <w:bookmarkEnd w:id="31"/>
      <w:r>
        <w:t xml:space="preserve">22. </w:t>
      </w:r>
      <w:r>
        <w:tab/>
        <w:t xml:space="preserve">Bezzina CN, Amiel JJ, Shine R. 2014 Does invasion success reflect superior cognitive ability? A case study of two congeneric lizard species (lampropholis, scincidae). </w:t>
      </w:r>
      <w:r>
        <w:rPr>
          <w:i/>
          <w:iCs/>
        </w:rPr>
        <w:t>PLoS One</w:t>
      </w:r>
      <w:r>
        <w:t xml:space="preserve"> </w:t>
      </w:r>
      <w:r>
        <w:rPr>
          <w:b/>
          <w:bCs/>
        </w:rPr>
        <w:t>9</w:t>
      </w:r>
      <w:r>
        <w:t>, e86271.</w:t>
      </w:r>
    </w:p>
    <w:p w14:paraId="266FAC49" w14:textId="77777777" w:rsidR="00B3615B" w:rsidRDefault="00000000">
      <w:pPr>
        <w:pStyle w:val="Bibliography"/>
      </w:pPr>
      <w:bookmarkStart w:id="33" w:name="ref-amiel_egg_2014"/>
      <w:bookmarkEnd w:id="32"/>
      <w:r>
        <w:t xml:space="preserve">23. </w:t>
      </w:r>
      <w:r>
        <w:tab/>
        <w:t xml:space="preserve">Amiel JJ, Lindström T, Shine R. 2014 Egg incubation effects generate positive correlations between size, speed and learning ability in young lizards. </w:t>
      </w:r>
      <w:r>
        <w:rPr>
          <w:i/>
          <w:iCs/>
        </w:rPr>
        <w:t>Animal Cognition</w:t>
      </w:r>
      <w:r>
        <w:t xml:space="preserve"> </w:t>
      </w:r>
      <w:r>
        <w:rPr>
          <w:b/>
          <w:bCs/>
        </w:rPr>
        <w:t>17</w:t>
      </w:r>
      <w:r>
        <w:t>, 337–347. (doi:</w:t>
      </w:r>
      <w:hyperlink r:id="rId17">
        <w:r>
          <w:rPr>
            <w:rStyle w:val="Hyperlink"/>
          </w:rPr>
          <w:t>10.1007/s10071-013-0665-4</w:t>
        </w:r>
      </w:hyperlink>
      <w:r>
        <w:t>)</w:t>
      </w:r>
    </w:p>
    <w:p w14:paraId="25313CD8" w14:textId="77777777" w:rsidR="00B3615B" w:rsidRDefault="00000000">
      <w:pPr>
        <w:pStyle w:val="Bibliography"/>
      </w:pPr>
      <w:bookmarkStart w:id="34" w:name="ref-clark_colour_2014"/>
      <w:bookmarkEnd w:id="33"/>
      <w:r>
        <w:lastRenderedPageBreak/>
        <w:t xml:space="preserve">24. </w:t>
      </w:r>
      <w:r>
        <w:tab/>
        <w:t xml:space="preserve">Clark BF, Amiel JJ, Shine R, Noble DWA, Whiting MJ. 2014 Colour discrimination and associative learning in hatchling lizards incubated at ‘hot’ and ‘cold’ temperatures. </w:t>
      </w:r>
      <w:r>
        <w:rPr>
          <w:i/>
          <w:iCs/>
        </w:rPr>
        <w:t>Behavioral Ecology and Sociobiology</w:t>
      </w:r>
      <w:r>
        <w:t xml:space="preserve"> </w:t>
      </w:r>
      <w:r>
        <w:rPr>
          <w:b/>
          <w:bCs/>
        </w:rPr>
        <w:t>68</w:t>
      </w:r>
      <w:r>
        <w:t>, 239–247. (doi:</w:t>
      </w:r>
      <w:hyperlink r:id="rId18">
        <w:r>
          <w:rPr>
            <w:rStyle w:val="Hyperlink"/>
          </w:rPr>
          <w:t>10.1007/s00265-013-1639-x</w:t>
        </w:r>
      </w:hyperlink>
      <w:r>
        <w:t>)</w:t>
      </w:r>
    </w:p>
    <w:p w14:paraId="6CF7F984" w14:textId="77777777" w:rsidR="00B3615B" w:rsidRDefault="00000000">
      <w:pPr>
        <w:pStyle w:val="Bibliography"/>
      </w:pPr>
      <w:bookmarkStart w:id="35" w:name="ref-lemaire_prenatal_2000"/>
      <w:bookmarkEnd w:id="34"/>
      <w:r>
        <w:t xml:space="preserve">25. </w:t>
      </w:r>
      <w:r>
        <w:tab/>
        <w:t xml:space="preserve">Lemaire V, Koehl M, Le Moal M, Abrous DN. 2000 Prenatal stress produces learning deficits associated with an inhibition of neurogenesis in the hippocampus. </w:t>
      </w:r>
      <w:r>
        <w:rPr>
          <w:i/>
          <w:iCs/>
        </w:rPr>
        <w:t>Proceedings of the National Academy of Sciences</w:t>
      </w:r>
      <w:r>
        <w:t xml:space="preserve"> </w:t>
      </w:r>
      <w:r>
        <w:rPr>
          <w:b/>
          <w:bCs/>
        </w:rPr>
        <w:t>97</w:t>
      </w:r>
      <w:r>
        <w:t>, 11032–11037. (doi:</w:t>
      </w:r>
      <w:hyperlink r:id="rId19">
        <w:r>
          <w:rPr>
            <w:rStyle w:val="Hyperlink"/>
          </w:rPr>
          <w:t>10.1073/pnas.97.20.11032</w:t>
        </w:r>
      </w:hyperlink>
      <w:r>
        <w:t>)</w:t>
      </w:r>
    </w:p>
    <w:p w14:paraId="002C2F00" w14:textId="77777777" w:rsidR="00B3615B" w:rsidRDefault="00000000">
      <w:pPr>
        <w:pStyle w:val="Bibliography"/>
      </w:pPr>
      <w:bookmarkStart w:id="36" w:name="ref-chapple2016origin"/>
      <w:bookmarkEnd w:id="35"/>
      <w:r>
        <w:t xml:space="preserve">26. </w:t>
      </w:r>
      <w:r>
        <w:tab/>
        <w:t xml:space="preserve">Chapple DG, Reardon JT, Peace JE. 2016 Origin, spread and biology of the invasive plague skink (lampropholis delicata) in new zealand. </w:t>
      </w:r>
      <w:r>
        <w:rPr>
          <w:i/>
          <w:iCs/>
        </w:rPr>
        <w:t>New Zealand lizards</w:t>
      </w:r>
      <w:r>
        <w:t>, 341–359.</w:t>
      </w:r>
    </w:p>
    <w:p w14:paraId="3A13B1A5" w14:textId="77777777" w:rsidR="00B3615B" w:rsidRDefault="00000000">
      <w:pPr>
        <w:pStyle w:val="Bibliography"/>
      </w:pPr>
      <w:bookmarkStart w:id="37" w:name="ref-Baden_Osorio_2019_Vert_vision"/>
      <w:bookmarkEnd w:id="36"/>
      <w:r>
        <w:t xml:space="preserve">27. </w:t>
      </w:r>
      <w:r>
        <w:tab/>
        <w:t xml:space="preserve">Baden T, Osorio D. 2019 The retinal basis of vertebrate color vision. </w:t>
      </w:r>
      <w:r>
        <w:rPr>
          <w:i/>
          <w:iCs/>
        </w:rPr>
        <w:t>Annual Review of Vision Science</w:t>
      </w:r>
      <w:r>
        <w:t>, 177–200.</w:t>
      </w:r>
    </w:p>
    <w:p w14:paraId="2092EBF3" w14:textId="77777777" w:rsidR="00B3615B" w:rsidRDefault="00000000">
      <w:pPr>
        <w:pStyle w:val="Bibliography"/>
      </w:pPr>
      <w:bookmarkStart w:id="38" w:name="ref-burkner2017brms"/>
      <w:bookmarkEnd w:id="37"/>
      <w:r>
        <w:t xml:space="preserve">28. </w:t>
      </w:r>
      <w:r>
        <w:tab/>
        <w:t xml:space="preserve">Bürkner P-C. 2017 Brms: An r package for bayesian multilevel models using stan. </w:t>
      </w:r>
      <w:r>
        <w:rPr>
          <w:i/>
          <w:iCs/>
        </w:rPr>
        <w:t>Journal of statistical software</w:t>
      </w:r>
      <w:r>
        <w:t xml:space="preserve"> </w:t>
      </w:r>
      <w:r>
        <w:rPr>
          <w:b/>
          <w:bCs/>
        </w:rPr>
        <w:t>80</w:t>
      </w:r>
      <w:r>
        <w:t>, 1–28.</w:t>
      </w:r>
    </w:p>
    <w:p w14:paraId="3F728572" w14:textId="77777777" w:rsidR="00B3615B" w:rsidRDefault="00000000">
      <w:pPr>
        <w:pStyle w:val="Bibliography"/>
      </w:pPr>
      <w:bookmarkStart w:id="39" w:name="ref-Allaire_Quarto_2022"/>
      <w:bookmarkEnd w:id="38"/>
      <w:r>
        <w:t xml:space="preserve">29. </w:t>
      </w:r>
      <w:r>
        <w:tab/>
        <w:t>Allaire JJ, Teague C, Scheidegger C, Xie Y, Dervieux C. 2022 Quarto. (doi:</w:t>
      </w:r>
      <w:hyperlink r:id="rId20">
        <w:r>
          <w:rPr>
            <w:rStyle w:val="Hyperlink"/>
          </w:rPr>
          <w:t>10.5281/zenodo.5960048</w:t>
        </w:r>
      </w:hyperlink>
      <w:r>
        <w:t>)</w:t>
      </w:r>
    </w:p>
    <w:p w14:paraId="27763AC9" w14:textId="77777777" w:rsidR="00B3615B" w:rsidRDefault="00000000">
      <w:pPr>
        <w:pStyle w:val="Bibliography"/>
      </w:pPr>
      <w:bookmarkStart w:id="40" w:name="ref-farrell_developmental_2016"/>
      <w:bookmarkEnd w:id="39"/>
      <w:r>
        <w:t xml:space="preserve">30. </w:t>
      </w:r>
      <w:r>
        <w:tab/>
        <w:t xml:space="preserve">Farrell TM, Morgan A, MacDougall-Shackleton SA. 2016 Developmental stress impairs performance on an association task in male and female songbirds, but impairs auditory learning in females only. </w:t>
      </w:r>
      <w:r>
        <w:rPr>
          <w:i/>
          <w:iCs/>
        </w:rPr>
        <w:t>Animal Cognition</w:t>
      </w:r>
      <w:r>
        <w:t xml:space="preserve"> </w:t>
      </w:r>
      <w:r>
        <w:rPr>
          <w:b/>
          <w:bCs/>
        </w:rPr>
        <w:t>19</w:t>
      </w:r>
      <w:r>
        <w:t>, 1–14. (doi:</w:t>
      </w:r>
      <w:hyperlink r:id="rId21">
        <w:r>
          <w:rPr>
            <w:rStyle w:val="Hyperlink"/>
          </w:rPr>
          <w:t>10.1007/s10071-015-0908-7</w:t>
        </w:r>
      </w:hyperlink>
      <w:r>
        <w:t>)</w:t>
      </w:r>
    </w:p>
    <w:p w14:paraId="7DB9F8B9" w14:textId="77777777" w:rsidR="00B3615B" w:rsidRDefault="00000000">
      <w:pPr>
        <w:pStyle w:val="Bibliography"/>
      </w:pPr>
      <w:bookmarkStart w:id="41" w:name="ref-szuran_water_1994"/>
      <w:bookmarkEnd w:id="40"/>
      <w:r>
        <w:t xml:space="preserve">31. </w:t>
      </w:r>
      <w:r>
        <w:tab/>
        <w:t xml:space="preserve">Szuran T, Zimmermann E, Welzl H. 1994 Water maze performance and hippocampal weight of prenatally stressed rats. </w:t>
      </w:r>
      <w:r>
        <w:rPr>
          <w:i/>
          <w:iCs/>
        </w:rPr>
        <w:t>Behavioural Brain Research</w:t>
      </w:r>
      <w:r>
        <w:t xml:space="preserve"> </w:t>
      </w:r>
      <w:r>
        <w:rPr>
          <w:b/>
          <w:bCs/>
        </w:rPr>
        <w:t>65</w:t>
      </w:r>
      <w:r>
        <w:t>, 153–155. (doi:</w:t>
      </w:r>
      <w:hyperlink r:id="rId22">
        <w:r>
          <w:rPr>
            <w:rStyle w:val="Hyperlink"/>
          </w:rPr>
          <w:t>10.1016/0166-4328(94)90100-7</w:t>
        </w:r>
      </w:hyperlink>
      <w:r>
        <w:t>)</w:t>
      </w:r>
    </w:p>
    <w:p w14:paraId="6287CAE4" w14:textId="77777777" w:rsidR="00B3615B" w:rsidRDefault="00000000">
      <w:pPr>
        <w:pStyle w:val="Bibliography"/>
      </w:pPr>
      <w:bookmarkStart w:id="42" w:name="ref-bebus_associative_2016"/>
      <w:bookmarkEnd w:id="41"/>
      <w:r>
        <w:t xml:space="preserve">32. </w:t>
      </w:r>
      <w:r>
        <w:tab/>
        <w:t xml:space="preserve">Bebus SE, Small TW, Jones BC, Elderbrock EK, Schoech SJ. 2016 Associative learning is inversely related to reversal learning and varies with nestling corticosterone exposure. </w:t>
      </w:r>
      <w:r>
        <w:rPr>
          <w:i/>
          <w:iCs/>
        </w:rPr>
        <w:t>Animal Behaviour</w:t>
      </w:r>
      <w:r>
        <w:t xml:space="preserve"> </w:t>
      </w:r>
      <w:r>
        <w:rPr>
          <w:b/>
          <w:bCs/>
        </w:rPr>
        <w:t>111</w:t>
      </w:r>
      <w:r>
        <w:t>, 251–260. (doi:</w:t>
      </w:r>
      <w:hyperlink r:id="rId23">
        <w:r>
          <w:rPr>
            <w:rStyle w:val="Hyperlink"/>
          </w:rPr>
          <w:t>10.1016/j.anbehav.2015.10.027</w:t>
        </w:r>
      </w:hyperlink>
      <w:r>
        <w:t>)</w:t>
      </w:r>
    </w:p>
    <w:p w14:paraId="0E7F6612" w14:textId="77777777" w:rsidR="00B3615B" w:rsidRDefault="00000000">
      <w:pPr>
        <w:pStyle w:val="Bibliography"/>
      </w:pPr>
      <w:bookmarkStart w:id="43" w:name="ref-dayananda_incubation_2017"/>
      <w:bookmarkEnd w:id="42"/>
      <w:r>
        <w:t xml:space="preserve">33. </w:t>
      </w:r>
      <w:r>
        <w:tab/>
        <w:t xml:space="preserve">Dayananda B, Webb JK. 2017 Incubation under climate warming affects learning ability and survival in hatchling lizards. </w:t>
      </w:r>
      <w:r>
        <w:rPr>
          <w:i/>
          <w:iCs/>
        </w:rPr>
        <w:t>Biology Letters</w:t>
      </w:r>
      <w:r>
        <w:t xml:space="preserve"> </w:t>
      </w:r>
      <w:r>
        <w:rPr>
          <w:b/>
          <w:bCs/>
        </w:rPr>
        <w:t>13</w:t>
      </w:r>
      <w:r>
        <w:t>, 20170002. (doi:</w:t>
      </w:r>
      <w:hyperlink r:id="rId24">
        <w:r>
          <w:rPr>
            <w:rStyle w:val="Hyperlink"/>
          </w:rPr>
          <w:t>10.1098/rsbl.2017.0002</w:t>
        </w:r>
      </w:hyperlink>
      <w:r>
        <w:t>)</w:t>
      </w:r>
    </w:p>
    <w:p w14:paraId="487B80D4" w14:textId="77777777" w:rsidR="00B3615B" w:rsidRDefault="00000000">
      <w:pPr>
        <w:pStyle w:val="Bibliography"/>
      </w:pPr>
      <w:bookmarkStart w:id="44" w:name="ref-abayarathna_effects_2020"/>
      <w:bookmarkEnd w:id="43"/>
      <w:r>
        <w:t xml:space="preserve">34. </w:t>
      </w:r>
      <w:r>
        <w:tab/>
        <w:t xml:space="preserve">Abayarathna T, Webb JK. 2020 Effects of incubation temperatures on learning abilities of hatchling velvet geckos. </w:t>
      </w:r>
      <w:r>
        <w:rPr>
          <w:i/>
          <w:iCs/>
        </w:rPr>
        <w:t>Animal Cognition</w:t>
      </w:r>
      <w:r>
        <w:t xml:space="preserve"> </w:t>
      </w:r>
      <w:r>
        <w:rPr>
          <w:b/>
          <w:bCs/>
        </w:rPr>
        <w:t>23</w:t>
      </w:r>
      <w:r>
        <w:t>, 613–620. (doi:</w:t>
      </w:r>
      <w:hyperlink r:id="rId25">
        <w:r>
          <w:rPr>
            <w:rStyle w:val="Hyperlink"/>
          </w:rPr>
          <w:t>10.1007/s10071-020-01365-4</w:t>
        </w:r>
      </w:hyperlink>
      <w:r>
        <w:t>)</w:t>
      </w:r>
    </w:p>
    <w:p w14:paraId="450A1903" w14:textId="77777777" w:rsidR="00B3615B" w:rsidRDefault="00000000">
      <w:pPr>
        <w:pStyle w:val="Bibliography"/>
      </w:pPr>
      <w:bookmarkStart w:id="45" w:name="ref-du_dynamic_2009"/>
      <w:bookmarkEnd w:id="44"/>
      <w:r>
        <w:t xml:space="preserve">35. </w:t>
      </w:r>
      <w:r>
        <w:tab/>
        <w:t xml:space="preserve">Du J </w:t>
      </w:r>
      <w:r>
        <w:rPr>
          <w:i/>
          <w:iCs/>
        </w:rPr>
        <w:t>et al.</w:t>
      </w:r>
      <w:r>
        <w:t xml:space="preserve"> 2009 Dynamic regulation of mitochondrial function by glucocorticoids. </w:t>
      </w:r>
      <w:r>
        <w:rPr>
          <w:i/>
          <w:iCs/>
        </w:rPr>
        <w:t>Proceedings of the National Academy of Sciences</w:t>
      </w:r>
      <w:r>
        <w:t xml:space="preserve"> </w:t>
      </w:r>
      <w:r>
        <w:rPr>
          <w:b/>
          <w:bCs/>
        </w:rPr>
        <w:t>106</w:t>
      </w:r>
      <w:r>
        <w:t>, 3543–3548. (doi:</w:t>
      </w:r>
      <w:hyperlink r:id="rId26">
        <w:r>
          <w:rPr>
            <w:rStyle w:val="Hyperlink"/>
          </w:rPr>
          <w:t>10.1073/pnas.0812671106</w:t>
        </w:r>
      </w:hyperlink>
      <w:r>
        <w:t>)</w:t>
      </w:r>
    </w:p>
    <w:p w14:paraId="2F6E5352" w14:textId="77777777" w:rsidR="00B3615B" w:rsidRDefault="00000000">
      <w:pPr>
        <w:pStyle w:val="Bibliography"/>
      </w:pPr>
      <w:bookmarkStart w:id="46" w:name="ref-mcewen_brain_2012"/>
      <w:bookmarkEnd w:id="45"/>
      <w:r>
        <w:t xml:space="preserve">36. </w:t>
      </w:r>
      <w:r>
        <w:tab/>
        <w:t xml:space="preserve">McEwen BS. 2012 Brain on stress: How the social environment gets under the skin. </w:t>
      </w:r>
      <w:r>
        <w:rPr>
          <w:i/>
          <w:iCs/>
        </w:rPr>
        <w:t>Proceedings of the National Academy of Sciences</w:t>
      </w:r>
      <w:r>
        <w:t xml:space="preserve"> </w:t>
      </w:r>
      <w:r>
        <w:rPr>
          <w:b/>
          <w:bCs/>
        </w:rPr>
        <w:t>109</w:t>
      </w:r>
      <w:r>
        <w:t>, 17180–17185. (doi:</w:t>
      </w:r>
      <w:hyperlink r:id="rId27">
        <w:r>
          <w:rPr>
            <w:rStyle w:val="Hyperlink"/>
          </w:rPr>
          <w:t>10.1073/pnas.1121254109</w:t>
        </w:r>
      </w:hyperlink>
      <w:r>
        <w:t>)</w:t>
      </w:r>
    </w:p>
    <w:p w14:paraId="367F325A" w14:textId="77777777" w:rsidR="00B3615B" w:rsidRDefault="00000000">
      <w:pPr>
        <w:pStyle w:val="Bibliography"/>
      </w:pPr>
      <w:bookmarkStart w:id="47" w:name="ref-sakata_neural_2000"/>
      <w:bookmarkEnd w:id="46"/>
      <w:r>
        <w:lastRenderedPageBreak/>
        <w:t xml:space="preserve">37. </w:t>
      </w:r>
      <w:r>
        <w:tab/>
        <w:t xml:space="preserve">Sakata JT, Coomber P, Gonzalez-Lima F, Crews D. 2000 Functional connectivity among limbic brain areas: Differential effects of incubation temperature and gonadal sex in the leopard gecko, eublepharis macularius. </w:t>
      </w:r>
      <w:r>
        <w:rPr>
          <w:i/>
          <w:iCs/>
        </w:rPr>
        <w:t>Brain, Behavior and Evolution</w:t>
      </w:r>
      <w:r>
        <w:t>, 139–151.</w:t>
      </w:r>
    </w:p>
    <w:bookmarkEnd w:id="11"/>
    <w:bookmarkEnd w:id="47"/>
    <w:p w14:paraId="48BB7E10" w14:textId="77777777" w:rsidR="00B3615B" w:rsidRDefault="00000000">
      <w:r>
        <w:br w:type="page"/>
      </w:r>
    </w:p>
    <w:p w14:paraId="5BDFFDB5" w14:textId="77777777" w:rsidR="00B3615B" w:rsidRDefault="00000000">
      <w:pPr>
        <w:pStyle w:val="Heading1"/>
      </w:pPr>
      <w:bookmarkStart w:id="48" w:name="suplementary-material"/>
      <w:bookmarkEnd w:id="9"/>
      <w:r>
        <w:lastRenderedPageBreak/>
        <w:t>Suplementary Material</w:t>
      </w:r>
    </w:p>
    <w:p w14:paraId="3B14F70D" w14:textId="77777777" w:rsidR="00B3615B" w:rsidRDefault="00000000">
      <w:pPr>
        <w:pStyle w:val="Heading4"/>
      </w:pPr>
      <w:bookmarkStart w:id="49" w:name="methods-details"/>
      <w:r>
        <w:t>Methods details</w:t>
      </w:r>
    </w:p>
    <w:p w14:paraId="2E566F96" w14:textId="77777777" w:rsidR="00B3615B" w:rsidRDefault="00000000">
      <w:pPr>
        <w:pStyle w:val="Heading6"/>
      </w:pPr>
      <w:bookmarkStart w:id="50" w:name="husbandry"/>
      <w:r>
        <w:t>Husbandry</w:t>
      </w:r>
    </w:p>
    <w:p w14:paraId="45039A5E" w14:textId="77777777" w:rsidR="00B3615B" w:rsidRDefault="00000000">
      <w:pPr>
        <w:pStyle w:val="FirstParagraph"/>
      </w:pPr>
      <w:r>
        <w:rPr>
          <w:i/>
          <w:iCs/>
        </w:rPr>
        <w:t>Breeding colony</w:t>
      </w:r>
      <w:r>
        <w:t xml:space="preserve"> – We tested juveniles coming from a breeding colony established in the lab since 2019. There is a total of 270 and 180 adults of </w:t>
      </w:r>
      <w:r>
        <w:rPr>
          <w:i/>
          <w:iCs/>
        </w:rPr>
        <w:t>L. delicata</w:t>
      </w:r>
      <w:r>
        <w:t xml:space="preserve"> and </w:t>
      </w:r>
      <w:r>
        <w:rPr>
          <w:i/>
          <w:iCs/>
        </w:rPr>
        <w:t>L. guichenoti</w:t>
      </w:r>
      <w:r>
        <w:t xml:space="preserve"> 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
          <w:iCs/>
        </w:rPr>
        <w:t>Acheta domestica</w:t>
      </w:r>
      <w:r>
        <w:t>)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r>
        <w:br/>
      </w:r>
      <w:r>
        <w:rPr>
          <w:i/>
          <w:iCs/>
        </w:rPr>
        <w:t>Eggs collection and incubation</w:t>
      </w:r>
      <w:r>
        <w:t xml:space="preserve"> –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weight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r>
        <w:br/>
      </w:r>
      <w:r>
        <w:rPr>
          <w:i/>
          <w:iCs/>
        </w:rPr>
        <w:t>Hatchlings</w:t>
      </w:r>
      <w:r>
        <w:t xml:space="preserve"> – Eggs in the incubator were checked three times a week for hatchlings. After hatchling, we measured juveniles’ SVL and Tail Length (TL) with a rule to the nearest mm and weighted them with a (OHAUS, Model spx123) digital scale ± 0.001g error. We then placed hatchlings in individual enclosures (18.7L x 13.2W x 6.3H cm) and provided them with non-stick matting and a small water dish. During this period, they were sprayed water every day and received 3-6 small </w:t>
      </w:r>
      <w:r>
        <w:rPr>
          <w:i/>
          <w:iCs/>
        </w:rPr>
        <w:t>A. domestica</w:t>
      </w:r>
      <w:r>
        <w:t xml:space="preserve"> crickets three times a week. All care otherwise follows similar protocols to adults (see above).</w:t>
      </w:r>
      <w:r>
        <w:b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all the experiment, lizards were fed with only one cricket per day dusted with calcium and multivitamin (see protocol below), and water was supplied </w:t>
      </w:r>
      <w:r>
        <w:rPr>
          <w:i/>
          <w:iCs/>
        </w:rPr>
        <w:t>ad libitum</w:t>
      </w:r>
      <w:r>
        <w:t>. We provided a temperature gradient by means of a heat cord and heat lamps in a 12 h light: 12 h dark cycle. The rooms temperature was set to between 22-24 Celsius.</w:t>
      </w:r>
    </w:p>
    <w:p w14:paraId="3645EFED" w14:textId="77777777" w:rsidR="00B3615B" w:rsidRDefault="00000000">
      <w:pPr>
        <w:pStyle w:val="Heading6"/>
      </w:pPr>
      <w:bookmarkStart w:id="51" w:name="cort-and-temperature-manipulation"/>
      <w:bookmarkEnd w:id="50"/>
      <w:r>
        <w:lastRenderedPageBreak/>
        <w:t>CORT and Temperature manipulation</w:t>
      </w:r>
    </w:p>
    <w:p w14:paraId="34122087" w14:textId="77777777" w:rsidR="00B3615B" w:rsidRDefault="00000000">
      <w:pPr>
        <w:pStyle w:val="FirstParagraph"/>
      </w:pPr>
      <w:r>
        <w:t>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Fig. 1</w:t>
        </w:r>
      </w:hyperlink>
      <w:r>
        <w:t xml:space="preserve"> A). We first allocated eggs to one of two different treatments: CORT treatment, where eggs were topically supplied with 5µL of CORT dissolved in 70% Ethanol and 30% DMSO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p w14:paraId="3676B52F" w14:textId="77777777" w:rsidR="00B3615B" w:rsidRDefault="00000000">
      <w:pPr>
        <w:pStyle w:val="Heading6"/>
      </w:pPr>
      <w:bookmarkStart w:id="52" w:name="learning-task"/>
      <w:bookmarkEnd w:id="51"/>
      <w:r>
        <w:t>Learning task</w:t>
      </w:r>
    </w:p>
    <w:p w14:paraId="03119343" w14:textId="77777777" w:rsidR="00B3615B" w:rsidRDefault="00000000">
      <w:pPr>
        <w:pStyle w:val="FirstParagraph"/>
      </w:pPr>
      <w:r>
        <w:t>The habituation phase was divided into three stages: in the first stage, the reward, a small, frozen cricket (</w:t>
      </w:r>
      <w:r>
        <w:rPr>
          <w:i/>
          <w:iCs/>
        </w:rPr>
        <w:t>A. domestica</w:t>
      </w:r>
      <w:r>
        <w:t>) was placed in an opaque petri dish (3D x 1.6H cm) (</w:t>
      </w:r>
      <w:hyperlink w:anchor="fig-Methods">
        <w:r>
          <w:rPr>
            <w:rStyle w:val="Hyperlink"/>
          </w:rPr>
          <w:t>Fig. 1</w:t>
        </w:r>
      </w:hyperlink>
      <w:r>
        <w:t xml:space="preserve"> B, Stage 1); in the second stage, the petri dish with the cricket was placed on top of the white 3D printed ramps (</w:t>
      </w:r>
      <w:hyperlink w:anchor="fig-Methods">
        <w:r>
          <w:rPr>
            <w:rStyle w:val="Hyperlink"/>
          </w:rPr>
          <w:t>Fig. 1</w:t>
        </w:r>
      </w:hyperlink>
      <w:r>
        <w:t xml:space="preserve"> B, Stage 2); and in the third stage, the cricket was left inside a well (3D x 1.75H cm) on top of the ramp (Fig. </w:t>
      </w:r>
      <w:hyperlink w:anchor="fig-Methods">
        <w:r>
          <w:rPr>
            <w:rStyle w:val="Hyperlink"/>
          </w:rPr>
          <w:t>Fig. 1</w:t>
        </w:r>
      </w:hyperlink>
      <w:r>
        <w:t xml:space="preserve"> B, Stage 3). Trials in every stage lasted one hour, begining when the feeding block (petri dish, ramp, or both) was placed inside the enclosure and finished when we took the feeding block away. We recorded whether the cricket had been consumed or not and we considered an stage as completed if the lizards ate the crickets in at least 5 out of 6 trials. This phase lasted 38 days, and only in one case we decided not to use the lizard in the next phases because its behaviour was not consistent.</w:t>
      </w:r>
      <w:r>
        <w:br/>
        <w:t xml:space="preserve">In the associative phase, we used three ramps that were identical in shape and size but differ in the colour (Associative task in Fig. </w:t>
      </w:r>
      <w:hyperlink w:anchor="fig-Methods">
        <w:r>
          <w:rPr>
            <w:rStyle w:val="Hyperlink"/>
          </w:rPr>
          <w:t>Fig. 1</w:t>
        </w:r>
      </w:hyperlink>
      <w:r>
        <w:t xml:space="preserve"> B). As in the last stage of the habituation phase, we placed the cricket inside the wells of the ramps, but then two of them were covered with 3D-printed lids (3D x 0.5H cm) so prey was only accessible in “the correct” ramp. The food reward was placed in all three wells to avoid lizard using prey chemical cues, that were released in the closed wells thanks to a series of small holes on the top of the lids. The colours of the feeders were green, red, and blue, as previous studies demonstrate that squamates can discriminate between these colours [</w:t>
      </w:r>
      <w:hyperlink w:anchor="ref-Baden_Osorio_2019_Vert_vision">
        <w:r>
          <w:rPr>
            <w:rStyle w:val="Hyperlink"/>
          </w:rPr>
          <w:t>27</w:t>
        </w:r>
      </w:hyperlink>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 </w:t>
      </w:r>
      <w:hyperlink w:anchor="fig-Methods">
        <w:r>
          <w:rPr>
            <w:rStyle w:val="Hyperlink"/>
          </w:rPr>
          <w:t>Fig. 1</w:t>
        </w:r>
      </w:hyperlink>
      <w:r>
        <w:t xml:space="preserve"> B). Here, the attainability of prey was indicated by a different colour from the reversal, requiring the lizards to form a novel association between the new colour and the food reward. This test was done once a day for 40 days.</w:t>
      </w:r>
      <w:r>
        <w:br/>
        <w:t>We performed the full experiment was between the 6</w:t>
      </w:r>
      <w:r>
        <w:rPr>
          <w:vertAlign w:val="superscript"/>
        </w:rPr>
        <w:t>th</w:t>
      </w:r>
      <w:r>
        <w:t xml:space="preserve"> of March until the 26</w:t>
      </w:r>
      <w:r>
        <w:rPr>
          <w:vertAlign w:val="superscript"/>
        </w:rPr>
        <w:t>th</w:t>
      </w:r>
      <w:r>
        <w:t xml:space="preserve"> 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w:t>
      </w:r>
      <w:r>
        <w:lastRenderedPageBreak/>
        <w:t>(IINA)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 ‘non data’ 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14:paraId="544B13E2" w14:textId="77777777" w:rsidR="00B3615B" w:rsidRDefault="00000000">
      <w:r>
        <w:br w:type="page"/>
      </w:r>
    </w:p>
    <w:p w14:paraId="5F4694D3" w14:textId="77777777" w:rsidR="00B3615B" w:rsidRDefault="00000000">
      <w:pPr>
        <w:pStyle w:val="Heading4"/>
      </w:pPr>
      <w:bookmarkStart w:id="53" w:name="checking-the-models-plots"/>
      <w:bookmarkEnd w:id="49"/>
      <w:bookmarkEnd w:id="52"/>
      <w:r>
        <w:lastRenderedPageBreak/>
        <w:t>Checking the models plots</w:t>
      </w:r>
    </w:p>
    <w:p w14:paraId="31C85DB0" w14:textId="77777777" w:rsidR="00B3615B" w:rsidRDefault="00000000">
      <w:pPr>
        <w:pStyle w:val="FirstParagraph"/>
      </w:pPr>
      <w:r>
        <w:t>Model formula for the reversal task is:</w:t>
      </w:r>
      <w:r>
        <w:br/>
        <w:t>Choice ~ trial_reversal</w:t>
      </w:r>
      <w:r>
        <w:rPr>
          <w:i/>
          <w:iCs/>
        </w:rPr>
        <w:t>cort</w:t>
      </w:r>
      <w:r>
        <w:t>temp + (1 + trial_reversal|lizard_id)</w:t>
      </w:r>
      <w:r>
        <w:br/>
        <w:t>Plots for the different models of the associative task:</w:t>
      </w:r>
      <w:r>
        <w:br/>
        <w:t xml:space="preserve">1.- </w:t>
      </w:r>
      <w:r>
        <w:rPr>
          <w:i/>
          <w:iCs/>
        </w:rPr>
        <w:t>L. delicata</w:t>
      </w:r>
    </w:p>
    <w:p w14:paraId="6EBEE627" w14:textId="77777777" w:rsidR="00B3615B" w:rsidRDefault="00000000">
      <w:pPr>
        <w:pStyle w:val="SourceCode"/>
      </w:pPr>
      <w:r>
        <w:rPr>
          <w:rStyle w:val="VerbatimChar"/>
        </w:rPr>
        <w:t xml:space="preserve">    Estimate  Est.Error       Q2.5     Q97.5</w:t>
      </w:r>
      <w:r>
        <w:br/>
      </w:r>
      <w:r>
        <w:rPr>
          <w:rStyle w:val="VerbatimChar"/>
        </w:rPr>
        <w:t>R2 0.1033704 0.01259748 0.07857037 0.1286278</w:t>
      </w:r>
    </w:p>
    <w:tbl>
      <w:tblPr>
        <w:tblStyle w:val="Table"/>
        <w:tblW w:w="5000" w:type="pct"/>
        <w:tblLook w:val="0000" w:firstRow="0" w:lastRow="0" w:firstColumn="0" w:lastColumn="0" w:noHBand="0" w:noVBand="0"/>
      </w:tblPr>
      <w:tblGrid>
        <w:gridCol w:w="9360"/>
      </w:tblGrid>
      <w:tr w:rsidR="00B3615B" w14:paraId="6C391407" w14:textId="77777777">
        <w:tc>
          <w:tcPr>
            <w:tcW w:w="0" w:type="auto"/>
          </w:tcPr>
          <w:p w14:paraId="2C904F5E" w14:textId="77777777" w:rsidR="00B3615B" w:rsidRDefault="00000000">
            <w:pPr>
              <w:jc w:val="center"/>
            </w:pPr>
            <w:r>
              <w:rPr>
                <w:noProof/>
              </w:rPr>
              <w:drawing>
                <wp:inline distT="0" distB="0" distL="0" distR="0" wp14:anchorId="050D771D" wp14:editId="709F45A9">
                  <wp:extent cx="4160520" cy="3328416"/>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ms_files/figure-docx/plotmod_drr-1.png"/>
                          <pic:cNvPicPr>
                            <a:picLocks noChangeAspect="1" noChangeArrowheads="1"/>
                          </pic:cNvPicPr>
                        </pic:nvPicPr>
                        <pic:blipFill>
                          <a:blip r:embed="rId28"/>
                          <a:stretch>
                            <a:fillRect/>
                          </a:stretch>
                        </pic:blipFill>
                        <pic:spPr bwMode="auto">
                          <a:xfrm>
                            <a:off x="0" y="0"/>
                            <a:ext cx="4160520" cy="3328416"/>
                          </a:xfrm>
                          <a:prstGeom prst="rect">
                            <a:avLst/>
                          </a:prstGeom>
                          <a:noFill/>
                          <a:ln w="9525">
                            <a:noFill/>
                            <a:headEnd/>
                            <a:tailEnd/>
                          </a:ln>
                        </pic:spPr>
                      </pic:pic>
                    </a:graphicData>
                  </a:graphic>
                </wp:inline>
              </w:drawing>
            </w:r>
          </w:p>
          <w:p w14:paraId="3741A3E3" w14:textId="77777777" w:rsidR="00B3615B" w:rsidRDefault="00B3615B">
            <w:pPr>
              <w:pStyle w:val="ImageCaption"/>
              <w:spacing w:before="200"/>
            </w:pPr>
          </w:p>
        </w:tc>
      </w:tr>
      <w:tr w:rsidR="00B3615B" w14:paraId="0B2B228D" w14:textId="77777777">
        <w:tc>
          <w:tcPr>
            <w:tcW w:w="0" w:type="auto"/>
          </w:tcPr>
          <w:p w14:paraId="64C24534" w14:textId="77777777" w:rsidR="00B3615B" w:rsidRDefault="00000000">
            <w:pPr>
              <w:jc w:val="center"/>
            </w:pPr>
            <w:r>
              <w:rPr>
                <w:noProof/>
              </w:rPr>
              <w:lastRenderedPageBreak/>
              <w:drawing>
                <wp:inline distT="0" distB="0" distL="0" distR="0" wp14:anchorId="29405217" wp14:editId="239A1333">
                  <wp:extent cx="4160520" cy="332841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ms_files/figure-docx/plotmod_drr-2.png"/>
                          <pic:cNvPicPr>
                            <a:picLocks noChangeAspect="1" noChangeArrowheads="1"/>
                          </pic:cNvPicPr>
                        </pic:nvPicPr>
                        <pic:blipFill>
                          <a:blip r:embed="rId29"/>
                          <a:stretch>
                            <a:fillRect/>
                          </a:stretch>
                        </pic:blipFill>
                        <pic:spPr bwMode="auto">
                          <a:xfrm>
                            <a:off x="0" y="0"/>
                            <a:ext cx="4160520" cy="3328416"/>
                          </a:xfrm>
                          <a:prstGeom prst="rect">
                            <a:avLst/>
                          </a:prstGeom>
                          <a:noFill/>
                          <a:ln w="9525">
                            <a:noFill/>
                            <a:headEnd/>
                            <a:tailEnd/>
                          </a:ln>
                        </pic:spPr>
                      </pic:pic>
                    </a:graphicData>
                  </a:graphic>
                </wp:inline>
              </w:drawing>
            </w:r>
          </w:p>
          <w:p w14:paraId="0BE5D50E" w14:textId="77777777" w:rsidR="00B3615B" w:rsidRDefault="00B3615B">
            <w:pPr>
              <w:pStyle w:val="ImageCaption"/>
              <w:spacing w:before="200"/>
            </w:pPr>
          </w:p>
        </w:tc>
      </w:tr>
      <w:tr w:rsidR="00B3615B" w14:paraId="327B919B" w14:textId="77777777">
        <w:tc>
          <w:tcPr>
            <w:tcW w:w="0" w:type="auto"/>
          </w:tcPr>
          <w:p w14:paraId="10D93200" w14:textId="77777777" w:rsidR="00B3615B" w:rsidRDefault="00000000">
            <w:pPr>
              <w:jc w:val="center"/>
            </w:pPr>
            <w:r>
              <w:rPr>
                <w:noProof/>
              </w:rPr>
              <w:drawing>
                <wp:inline distT="0" distB="0" distL="0" distR="0" wp14:anchorId="68DF5302" wp14:editId="5A805881">
                  <wp:extent cx="4160520" cy="3328416"/>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ms_files/figure-docx/plotmod_drr-3.png"/>
                          <pic:cNvPicPr>
                            <a:picLocks noChangeAspect="1" noChangeArrowheads="1"/>
                          </pic:cNvPicPr>
                        </pic:nvPicPr>
                        <pic:blipFill>
                          <a:blip r:embed="rId30"/>
                          <a:stretch>
                            <a:fillRect/>
                          </a:stretch>
                        </pic:blipFill>
                        <pic:spPr bwMode="auto">
                          <a:xfrm>
                            <a:off x="0" y="0"/>
                            <a:ext cx="4160520" cy="3328416"/>
                          </a:xfrm>
                          <a:prstGeom prst="rect">
                            <a:avLst/>
                          </a:prstGeom>
                          <a:noFill/>
                          <a:ln w="9525">
                            <a:noFill/>
                            <a:headEnd/>
                            <a:tailEnd/>
                          </a:ln>
                        </pic:spPr>
                      </pic:pic>
                    </a:graphicData>
                  </a:graphic>
                </wp:inline>
              </w:drawing>
            </w:r>
          </w:p>
          <w:p w14:paraId="775FD501" w14:textId="77777777" w:rsidR="00B3615B" w:rsidRDefault="00B3615B">
            <w:pPr>
              <w:pStyle w:val="ImageCaption"/>
              <w:spacing w:before="200"/>
            </w:pPr>
          </w:p>
        </w:tc>
      </w:tr>
    </w:tbl>
    <w:p w14:paraId="498DC618" w14:textId="77777777" w:rsidR="00B3615B" w:rsidRDefault="00000000">
      <w:r>
        <w:br w:type="page"/>
      </w:r>
    </w:p>
    <w:p w14:paraId="5EF557F1" w14:textId="77777777" w:rsidR="00B3615B" w:rsidRDefault="00000000">
      <w:pPr>
        <w:pStyle w:val="BodyText"/>
      </w:pPr>
      <w:r>
        <w:lastRenderedPageBreak/>
        <w:t xml:space="preserve">2.- </w:t>
      </w:r>
      <w:r>
        <w:rPr>
          <w:i/>
          <w:iCs/>
        </w:rPr>
        <w:t>L. guichenoti</w:t>
      </w:r>
    </w:p>
    <w:p w14:paraId="053B8E7F" w14:textId="77777777" w:rsidR="00B3615B" w:rsidRDefault="00000000">
      <w:pPr>
        <w:pStyle w:val="SourceCode"/>
      </w:pPr>
      <w:r>
        <w:rPr>
          <w:rStyle w:val="VerbatimChar"/>
        </w:rPr>
        <w:t xml:space="preserve">    Estimate  Est.Error      Q2.5     Q97.5</w:t>
      </w:r>
      <w:r>
        <w:br/>
      </w:r>
      <w:r>
        <w:rPr>
          <w:rStyle w:val="VerbatimChar"/>
        </w:rPr>
        <w:t>R2 0.1456256 0.01556628 0.1149344 0.1757993</w:t>
      </w:r>
    </w:p>
    <w:tbl>
      <w:tblPr>
        <w:tblStyle w:val="Table"/>
        <w:tblW w:w="5000" w:type="pct"/>
        <w:tblLook w:val="0000" w:firstRow="0" w:lastRow="0" w:firstColumn="0" w:lastColumn="0" w:noHBand="0" w:noVBand="0"/>
      </w:tblPr>
      <w:tblGrid>
        <w:gridCol w:w="9360"/>
      </w:tblGrid>
      <w:tr w:rsidR="00B3615B" w14:paraId="27A0ED03" w14:textId="77777777">
        <w:tc>
          <w:tcPr>
            <w:tcW w:w="0" w:type="auto"/>
          </w:tcPr>
          <w:p w14:paraId="58D65EB9" w14:textId="77777777" w:rsidR="00B3615B" w:rsidRDefault="00000000">
            <w:pPr>
              <w:jc w:val="center"/>
            </w:pPr>
            <w:r>
              <w:rPr>
                <w:noProof/>
              </w:rPr>
              <w:drawing>
                <wp:inline distT="0" distB="0" distL="0" distR="0" wp14:anchorId="08D03278" wp14:editId="362CE4C2">
                  <wp:extent cx="4160520" cy="3328416"/>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ms_files/figure-docx/plotmod_grr-1.png"/>
                          <pic:cNvPicPr>
                            <a:picLocks noChangeAspect="1" noChangeArrowheads="1"/>
                          </pic:cNvPicPr>
                        </pic:nvPicPr>
                        <pic:blipFill>
                          <a:blip r:embed="rId31"/>
                          <a:stretch>
                            <a:fillRect/>
                          </a:stretch>
                        </pic:blipFill>
                        <pic:spPr bwMode="auto">
                          <a:xfrm>
                            <a:off x="0" y="0"/>
                            <a:ext cx="4160520" cy="3328416"/>
                          </a:xfrm>
                          <a:prstGeom prst="rect">
                            <a:avLst/>
                          </a:prstGeom>
                          <a:noFill/>
                          <a:ln w="9525">
                            <a:noFill/>
                            <a:headEnd/>
                            <a:tailEnd/>
                          </a:ln>
                        </pic:spPr>
                      </pic:pic>
                    </a:graphicData>
                  </a:graphic>
                </wp:inline>
              </w:drawing>
            </w:r>
          </w:p>
          <w:p w14:paraId="32FCCF13" w14:textId="77777777" w:rsidR="00B3615B" w:rsidRDefault="00B3615B">
            <w:pPr>
              <w:pStyle w:val="ImageCaption"/>
              <w:spacing w:before="200"/>
            </w:pPr>
          </w:p>
        </w:tc>
      </w:tr>
      <w:tr w:rsidR="00B3615B" w14:paraId="53528BFB" w14:textId="77777777">
        <w:tc>
          <w:tcPr>
            <w:tcW w:w="0" w:type="auto"/>
          </w:tcPr>
          <w:p w14:paraId="63B14F26" w14:textId="77777777" w:rsidR="00B3615B" w:rsidRDefault="00000000">
            <w:pPr>
              <w:jc w:val="center"/>
            </w:pPr>
            <w:r>
              <w:rPr>
                <w:noProof/>
              </w:rPr>
              <w:drawing>
                <wp:inline distT="0" distB="0" distL="0" distR="0" wp14:anchorId="7350C509" wp14:editId="7CA3CCF2">
                  <wp:extent cx="4160520" cy="3328416"/>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ms_files/figure-docx/plotmod_grr-2.png"/>
                          <pic:cNvPicPr>
                            <a:picLocks noChangeAspect="1" noChangeArrowheads="1"/>
                          </pic:cNvPicPr>
                        </pic:nvPicPr>
                        <pic:blipFill>
                          <a:blip r:embed="rId32"/>
                          <a:stretch>
                            <a:fillRect/>
                          </a:stretch>
                        </pic:blipFill>
                        <pic:spPr bwMode="auto">
                          <a:xfrm>
                            <a:off x="0" y="0"/>
                            <a:ext cx="4160520" cy="3328416"/>
                          </a:xfrm>
                          <a:prstGeom prst="rect">
                            <a:avLst/>
                          </a:prstGeom>
                          <a:noFill/>
                          <a:ln w="9525">
                            <a:noFill/>
                            <a:headEnd/>
                            <a:tailEnd/>
                          </a:ln>
                        </pic:spPr>
                      </pic:pic>
                    </a:graphicData>
                  </a:graphic>
                </wp:inline>
              </w:drawing>
            </w:r>
          </w:p>
          <w:p w14:paraId="24365473" w14:textId="77777777" w:rsidR="00B3615B" w:rsidRDefault="00B3615B">
            <w:pPr>
              <w:pStyle w:val="ImageCaption"/>
              <w:spacing w:before="200"/>
            </w:pPr>
          </w:p>
        </w:tc>
      </w:tr>
      <w:tr w:rsidR="00B3615B" w14:paraId="2BC6A6C9" w14:textId="77777777">
        <w:tc>
          <w:tcPr>
            <w:tcW w:w="0" w:type="auto"/>
          </w:tcPr>
          <w:p w14:paraId="20D0EB9C" w14:textId="77777777" w:rsidR="00B3615B" w:rsidRDefault="00000000">
            <w:pPr>
              <w:jc w:val="center"/>
            </w:pPr>
            <w:r>
              <w:rPr>
                <w:noProof/>
              </w:rPr>
              <w:lastRenderedPageBreak/>
              <w:drawing>
                <wp:inline distT="0" distB="0" distL="0" distR="0" wp14:anchorId="32FA68A9" wp14:editId="4B8DE1E7">
                  <wp:extent cx="4160520" cy="332841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ms_files/figure-docx/plotmod_grr-3.png"/>
                          <pic:cNvPicPr>
                            <a:picLocks noChangeAspect="1" noChangeArrowheads="1"/>
                          </pic:cNvPicPr>
                        </pic:nvPicPr>
                        <pic:blipFill>
                          <a:blip r:embed="rId33"/>
                          <a:stretch>
                            <a:fillRect/>
                          </a:stretch>
                        </pic:blipFill>
                        <pic:spPr bwMode="auto">
                          <a:xfrm>
                            <a:off x="0" y="0"/>
                            <a:ext cx="4160520" cy="3328416"/>
                          </a:xfrm>
                          <a:prstGeom prst="rect">
                            <a:avLst/>
                          </a:prstGeom>
                          <a:noFill/>
                          <a:ln w="9525">
                            <a:noFill/>
                            <a:headEnd/>
                            <a:tailEnd/>
                          </a:ln>
                        </pic:spPr>
                      </pic:pic>
                    </a:graphicData>
                  </a:graphic>
                </wp:inline>
              </w:drawing>
            </w:r>
          </w:p>
          <w:p w14:paraId="09EB87D5" w14:textId="77777777" w:rsidR="00B3615B" w:rsidRDefault="00B3615B">
            <w:pPr>
              <w:pStyle w:val="ImageCaption"/>
              <w:spacing w:before="200"/>
            </w:pPr>
          </w:p>
        </w:tc>
      </w:tr>
    </w:tbl>
    <w:p w14:paraId="7EF92D87" w14:textId="77777777" w:rsidR="00B3615B" w:rsidRDefault="00000000">
      <w:r>
        <w:br w:type="page"/>
      </w:r>
    </w:p>
    <w:p w14:paraId="3854A34F" w14:textId="77777777" w:rsidR="00B3615B" w:rsidRDefault="00000000">
      <w:pPr>
        <w:pStyle w:val="Heading4"/>
      </w:pPr>
      <w:bookmarkStart w:id="54" w:name="X1611a6fc98c0696fff5587648e81ab7695687c6"/>
      <w:bookmarkEnd w:id="53"/>
      <w:r>
        <w:lastRenderedPageBreak/>
        <w:t xml:space="preserve">Results employing only those individuals that passed a learning criterion of 80% correct choices in the last 10 trials of the associative </w:t>
      </w:r>
      <w:proofErr w:type="gramStart"/>
      <w:r>
        <w:t>task</w:t>
      </w:r>
      <w:proofErr w:type="gramEnd"/>
    </w:p>
    <w:p w14:paraId="5FAC5121" w14:textId="3F189969" w:rsidR="00736DB2" w:rsidRPr="00736DB2" w:rsidRDefault="00736DB2" w:rsidP="00736DB2">
      <w:pPr>
        <w:pStyle w:val="BodyText"/>
      </w:pPr>
      <w:r>
        <w:t xml:space="preserve">Table S1 - </w:t>
      </w:r>
      <w:r w:rsidRPr="00736DB2">
        <w:t xml:space="preserve">Estimates of Associative learning slope for all the different treatments per each task, </w:t>
      </w:r>
      <w:proofErr w:type="gramStart"/>
      <w:r w:rsidRPr="00736DB2">
        <w:t>species</w:t>
      </w:r>
      <w:proofErr w:type="gramEnd"/>
      <w:r w:rsidRPr="00736DB2">
        <w:t xml:space="preserve"> and group. Mean shows the </w:t>
      </w:r>
      <w:proofErr w:type="spellStart"/>
      <w:r w:rsidRPr="00736DB2">
        <w:t>aritmetic</w:t>
      </w:r>
      <w:proofErr w:type="spellEnd"/>
      <w:r w:rsidRPr="00736DB2">
        <w:t xml:space="preserve"> mean of the estimates obtained from the posteriors of the model, and 95% CI indicates the 95% confidence interval of the mean. All p-values were obtained using </w:t>
      </w:r>
      <w:proofErr w:type="spellStart"/>
      <w:r w:rsidRPr="00736DB2">
        <w:t>pmcmc</w:t>
      </w:r>
      <w:proofErr w:type="spellEnd"/>
      <w:r w:rsidRPr="00736DB2">
        <w:t xml:space="preserve"> and test the hypothesis that the mean is equal to zero. In bold, those values that are significant (p-value &lt;0.05)</w:t>
      </w:r>
    </w:p>
    <w:tbl>
      <w:tblPr>
        <w:tblW w:w="0" w:type="auto"/>
        <w:jc w:val="center"/>
        <w:tblLayout w:type="fixed"/>
        <w:tblLook w:val="0420" w:firstRow="1" w:lastRow="0" w:firstColumn="0" w:lastColumn="0" w:noHBand="0" w:noVBand="1"/>
      </w:tblPr>
      <w:tblGrid>
        <w:gridCol w:w="1572"/>
        <w:gridCol w:w="2240"/>
        <w:gridCol w:w="912"/>
        <w:gridCol w:w="1566"/>
        <w:gridCol w:w="1070"/>
      </w:tblGrid>
      <w:tr w:rsidR="00B3615B" w14:paraId="2ED4FB56" w14:textId="77777777">
        <w:trPr>
          <w:tblHeader/>
          <w:jc w:val="center"/>
        </w:trPr>
        <w:tc>
          <w:tcPr>
            <w:tcW w:w="15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09CC91"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bookmarkStart w:id="55" w:name="tbl-data_2"/>
            <w:r>
              <w:rPr>
                <w:rFonts w:ascii="Times New Roman" w:eastAsia="Helvetica" w:hAnsi="Helvetica" w:cs="Helvetica"/>
                <w:color w:val="000000"/>
                <w:sz w:val="22"/>
                <w:szCs w:val="22"/>
              </w:rPr>
              <w:t>Specie</w:t>
            </w:r>
          </w:p>
        </w:tc>
        <w:tc>
          <w:tcPr>
            <w:tcW w:w="22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F9995C"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Treatment</w:t>
            </w:r>
          </w:p>
        </w:tc>
        <w:tc>
          <w:tcPr>
            <w:tcW w:w="91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7D519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Mean</w:t>
            </w:r>
          </w:p>
        </w:tc>
        <w:tc>
          <w:tcPr>
            <w:tcW w:w="15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AFC85F"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95% CI</w:t>
            </w:r>
          </w:p>
        </w:tc>
        <w:tc>
          <w:tcPr>
            <w:tcW w:w="107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A6DF65"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p-value</w:t>
            </w:r>
          </w:p>
        </w:tc>
      </w:tr>
      <w:tr w:rsidR="00B3615B" w14:paraId="035F53C0" w14:textId="77777777">
        <w:trPr>
          <w:jc w:val="center"/>
        </w:trPr>
        <w:tc>
          <w:tcPr>
            <w:tcW w:w="15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ADD52"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delicata</w:t>
            </w:r>
          </w:p>
        </w:tc>
        <w:tc>
          <w:tcPr>
            <w:tcW w:w="22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6CC8"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4)</w:t>
            </w:r>
          </w:p>
        </w:tc>
        <w:tc>
          <w:tcPr>
            <w:tcW w:w="91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EEDE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0.052</w:t>
            </w:r>
          </w:p>
        </w:tc>
        <w:tc>
          <w:tcPr>
            <w:tcW w:w="15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98812"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0.022 , 0.085</w:t>
            </w:r>
          </w:p>
        </w:tc>
        <w:tc>
          <w:tcPr>
            <w:tcW w:w="107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5C33B"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0.0025</w:t>
            </w:r>
          </w:p>
        </w:tc>
      </w:tr>
      <w:tr w:rsidR="00B3615B" w14:paraId="2B6C0ACF"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CB1C1"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C447C"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5)</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F6D5"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0.066</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C2E"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0.038 , 0.095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F5065"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0759897B"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7720D"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F482B"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3)</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08599"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0.073</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1E83F"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0.037 , 0.112</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76C10"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0.0000</w:t>
            </w:r>
          </w:p>
        </w:tc>
      </w:tr>
      <w:tr w:rsidR="00B3615B" w14:paraId="42726981" w14:textId="77777777">
        <w:trPr>
          <w:jc w:val="center"/>
        </w:trPr>
        <w:tc>
          <w:tcPr>
            <w:tcW w:w="157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FBDF85"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BAAEC2"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7)</w:t>
            </w:r>
          </w:p>
        </w:tc>
        <w:tc>
          <w:tcPr>
            <w:tcW w:w="91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CF2037"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0.045</w:t>
            </w:r>
          </w:p>
        </w:tc>
        <w:tc>
          <w:tcPr>
            <w:tcW w:w="15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13D2B9"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0.022 , 0.069</w:t>
            </w:r>
          </w:p>
        </w:tc>
        <w:tc>
          <w:tcPr>
            <w:tcW w:w="10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587B689"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0.0008</w:t>
            </w:r>
          </w:p>
        </w:tc>
      </w:tr>
      <w:tr w:rsidR="00B3615B" w14:paraId="77D2D0E9" w14:textId="77777777">
        <w:trPr>
          <w:jc w:val="center"/>
        </w:trPr>
        <w:tc>
          <w:tcPr>
            <w:tcW w:w="157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65B7F"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guichenoti</w:t>
            </w:r>
          </w:p>
        </w:tc>
        <w:tc>
          <w:tcPr>
            <w:tcW w:w="224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0E49D"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3)</w:t>
            </w:r>
          </w:p>
        </w:tc>
        <w:tc>
          <w:tcPr>
            <w:tcW w:w="91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2DD5"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0.068</w:t>
            </w:r>
          </w:p>
        </w:tc>
        <w:tc>
          <w:tcPr>
            <w:tcW w:w="156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E133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0.013 , 0.125</w:t>
            </w:r>
          </w:p>
        </w:tc>
        <w:tc>
          <w:tcPr>
            <w:tcW w:w="107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38F0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0.0203</w:t>
            </w:r>
          </w:p>
        </w:tc>
      </w:tr>
      <w:tr w:rsidR="00B3615B" w14:paraId="712AB13A"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84E3"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7D741"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3)</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838C"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0.086</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86EC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0.03 , 0.147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E756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0.0057</w:t>
            </w:r>
          </w:p>
        </w:tc>
      </w:tr>
      <w:tr w:rsidR="00B3615B" w14:paraId="149094FA"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02D9"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FED37"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5)</w:t>
            </w:r>
          </w:p>
        </w:tc>
        <w:tc>
          <w:tcPr>
            <w:tcW w:w="9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C1B29"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0.072</w:t>
            </w:r>
          </w:p>
        </w:tc>
        <w:tc>
          <w:tcPr>
            <w:tcW w:w="15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AFF56"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0.03 , 0.115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2616E"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0.0037</w:t>
            </w:r>
          </w:p>
        </w:tc>
      </w:tr>
      <w:tr w:rsidR="00B3615B" w14:paraId="3712B2BF" w14:textId="77777777">
        <w:trPr>
          <w:jc w:val="center"/>
        </w:trPr>
        <w:tc>
          <w:tcPr>
            <w:tcW w:w="15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AFF066" w14:textId="77777777" w:rsidR="00B3615B" w:rsidRDefault="00B361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A627A9"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7)</w:t>
            </w:r>
          </w:p>
        </w:tc>
        <w:tc>
          <w:tcPr>
            <w:tcW w:w="91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C577C"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0.066</w:t>
            </w:r>
          </w:p>
        </w:tc>
        <w:tc>
          <w:tcPr>
            <w:tcW w:w="15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508C3"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0.03 , 0.105</w:t>
            </w:r>
          </w:p>
        </w:tc>
        <w:tc>
          <w:tcPr>
            <w:tcW w:w="107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EDFD14" w14:textId="77777777" w:rsidR="00B361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0.0008</w:t>
            </w:r>
          </w:p>
        </w:tc>
      </w:tr>
      <w:bookmarkEnd w:id="48"/>
      <w:bookmarkEnd w:id="54"/>
      <w:bookmarkEnd w:id="55"/>
    </w:tbl>
    <w:p w14:paraId="636011FE" w14:textId="0AAA5407" w:rsidR="00B3615B" w:rsidRDefault="00B3615B">
      <w:pPr>
        <w:pStyle w:val="FirstParagraph"/>
      </w:pPr>
    </w:p>
    <w:sectPr w:rsidR="00B3615B" w:rsidSect="00BE7C9C">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5EFA8" w14:textId="77777777" w:rsidR="00BE7C9C" w:rsidRDefault="00BE7C9C">
      <w:pPr>
        <w:spacing w:after="0"/>
      </w:pPr>
      <w:r>
        <w:separator/>
      </w:r>
    </w:p>
  </w:endnote>
  <w:endnote w:type="continuationSeparator" w:id="0">
    <w:p w14:paraId="19085E3F" w14:textId="77777777" w:rsidR="00BE7C9C" w:rsidRDefault="00BE7C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E30DA" w14:textId="77777777" w:rsidR="00BE7C9C" w:rsidRDefault="00BE7C9C">
      <w:r>
        <w:separator/>
      </w:r>
    </w:p>
  </w:footnote>
  <w:footnote w:type="continuationSeparator" w:id="0">
    <w:p w14:paraId="037795B4" w14:textId="77777777" w:rsidR="00BE7C9C" w:rsidRDefault="00BE7C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4037695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15B"/>
    <w:rsid w:val="00736DB2"/>
    <w:rsid w:val="00B3615B"/>
    <w:rsid w:val="00BE7C9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2FE637"/>
  <w15:docId w15:val="{AA323BFD-7840-5545-8535-9573AA691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182748">
      <w:bodyDiv w:val="1"/>
      <w:marLeft w:val="0"/>
      <w:marRight w:val="0"/>
      <w:marTop w:val="0"/>
      <w:marBottom w:val="0"/>
      <w:divBdr>
        <w:top w:val="none" w:sz="0" w:space="0" w:color="auto"/>
        <w:left w:val="none" w:sz="0" w:space="0" w:color="auto"/>
        <w:bottom w:val="none" w:sz="0" w:space="0" w:color="auto"/>
        <w:right w:val="none" w:sz="0" w:space="0" w:color="auto"/>
      </w:divBdr>
      <w:divsChild>
        <w:div w:id="2012640493">
          <w:marLeft w:val="0"/>
          <w:marRight w:val="0"/>
          <w:marTop w:val="0"/>
          <w:marBottom w:val="0"/>
          <w:divBdr>
            <w:top w:val="none" w:sz="0" w:space="0" w:color="auto"/>
            <w:left w:val="none" w:sz="0" w:space="0" w:color="auto"/>
            <w:bottom w:val="none" w:sz="0" w:space="0" w:color="auto"/>
            <w:right w:val="none" w:sz="0" w:space="0" w:color="auto"/>
          </w:divBdr>
          <w:divsChild>
            <w:div w:id="13822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SICI)1096-9861(19970414)380:3%3c409::AID-CNE9%3e3.0.CO;2-6" TargetMode="External"/><Relationship Id="rId18" Type="http://schemas.openxmlformats.org/officeDocument/2006/relationships/hyperlink" Target="https://doi.org/10.1007/s00265-013-1639-x" TargetMode="External"/><Relationship Id="rId26" Type="http://schemas.openxmlformats.org/officeDocument/2006/relationships/hyperlink" Target="https://doi.org/10.1073/pnas.0812671106" TargetMode="External"/><Relationship Id="rId3" Type="http://schemas.openxmlformats.org/officeDocument/2006/relationships/settings" Target="settings.xml"/><Relationship Id="rId21" Type="http://schemas.openxmlformats.org/officeDocument/2006/relationships/hyperlink" Target="https://doi.org/10.1007/s10071-015-0908-7"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doi.org/10.1098/rsbl.2011.1161" TargetMode="External"/><Relationship Id="rId17" Type="http://schemas.openxmlformats.org/officeDocument/2006/relationships/hyperlink" Target="https://doi.org/10.1007/s10071-013-0665-4" TargetMode="External"/><Relationship Id="rId25" Type="http://schemas.openxmlformats.org/officeDocument/2006/relationships/hyperlink" Target="https://doi.org/10.1007/s10071-020-01365-4" TargetMode="External"/><Relationship Id="rId33"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doi.org/10.1071/ZO14098" TargetMode="External"/><Relationship Id="rId20" Type="http://schemas.openxmlformats.org/officeDocument/2006/relationships/hyperlink" Target="https://doi.org/10.5281/zenodo.5960048" TargetMode="External"/><Relationship Id="rId29"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002/jnr.20338" TargetMode="External"/><Relationship Id="rId24" Type="http://schemas.openxmlformats.org/officeDocument/2006/relationships/hyperlink" Target="https://doi.org/10.1098/rsbl.2017.0002" TargetMode="External"/><Relationship Id="rId32"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s://doi.org/10.1002/ece3.22" TargetMode="External"/><Relationship Id="rId23" Type="http://schemas.openxmlformats.org/officeDocument/2006/relationships/hyperlink" Target="https://doi.org/10.1016/j.anbehav.2015.10.027" TargetMode="External"/><Relationship Id="rId28" Type="http://schemas.openxmlformats.org/officeDocument/2006/relationships/image" Target="media/image4.png"/><Relationship Id="rId10" Type="http://schemas.openxmlformats.org/officeDocument/2006/relationships/hyperlink" Target="https://doi.org/10.1371/journal.pone.0018277" TargetMode="External"/><Relationship Id="rId19" Type="http://schemas.openxmlformats.org/officeDocument/2006/relationships/hyperlink" Target="https://doi.org/10.1073/pnas.97.20.11032" TargetMode="External"/><Relationship Id="rId31"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07/s10071-016-0993-2" TargetMode="External"/><Relationship Id="rId22" Type="http://schemas.openxmlformats.org/officeDocument/2006/relationships/hyperlink" Target="https://doi.org/10.1016/0166-4328(94)90100-7" TargetMode="External"/><Relationship Id="rId27" Type="http://schemas.openxmlformats.org/officeDocument/2006/relationships/hyperlink" Target="https://doi.org/10.1073/pnas.1121254109" TargetMode="External"/><Relationship Id="rId30" Type="http://schemas.openxmlformats.org/officeDocument/2006/relationships/image" Target="media/image6.png"/><Relationship Id="rId35" Type="http://schemas.openxmlformats.org/officeDocument/2006/relationships/theme" Target="theme/theme1.xml"/><Relationship Id="rId8" Type="http://schemas.openxmlformats.org/officeDocument/2006/relationships/image" Target="media/image2.svgz"/></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18</Pages>
  <Words>5656</Words>
  <Characters>32242</Characters>
  <Application>Microsoft Office Word</Application>
  <DocSecurity>0</DocSecurity>
  <Lines>268</Lines>
  <Paragraphs>75</Paragraphs>
  <ScaleCrop>false</ScaleCrop>
  <Company/>
  <LinksUpToDate>false</LinksUpToDate>
  <CharactersWithSpaces>37823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Pablo Recio Santiago</cp:lastModifiedBy>
  <cp:revision>2</cp:revision>
  <dcterms:created xsi:type="dcterms:W3CDTF">2024-02-07T23:31:00Z</dcterms:created>
  <dcterms:modified xsi:type="dcterms:W3CDTF">2024-02-07T23:59:00Z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